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2D2" w:rsidRPr="00E42755" w:rsidRDefault="009E22D2" w:rsidP="000F164B">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CC2D18">
        <w:rPr>
          <w:rFonts w:ascii="Palatino Linotype" w:hAnsi="Palatino Linotype" w:cs="Arial"/>
          <w:b/>
        </w:rPr>
        <w:t xml:space="preserve">TRIGÉSIMA PRIMERA </w:t>
      </w:r>
      <w:r w:rsidRPr="0007653D">
        <w:rPr>
          <w:rFonts w:ascii="Palatino Linotype" w:hAnsi="Palatino Linotype" w:cs="Arial"/>
          <w:b/>
        </w:rPr>
        <w:t xml:space="preserve">SESIÓN ORDINARIA DE </w:t>
      </w:r>
      <w:r w:rsidR="00CC2D18">
        <w:rPr>
          <w:rFonts w:ascii="Palatino Linotype" w:hAnsi="Palatino Linotype" w:cs="Arial"/>
          <w:b/>
        </w:rPr>
        <w:t xml:space="preserve">VEINTINUEVE </w:t>
      </w:r>
      <w:r>
        <w:rPr>
          <w:rFonts w:ascii="Palatino Linotype" w:hAnsi="Palatino Linotype" w:cs="Arial"/>
          <w:b/>
        </w:rPr>
        <w:t>DE AGOSTO DE DOS MIL DIECIOCHO</w:t>
      </w:r>
      <w:r w:rsidR="00CC2D18">
        <w:rPr>
          <w:rFonts w:ascii="Palatino Linotype" w:hAnsi="Palatino Linotype" w:cs="Arial"/>
          <w:b/>
        </w:rPr>
        <w:t>, EN EL</w:t>
      </w:r>
      <w:r w:rsidRPr="0007653D">
        <w:rPr>
          <w:rFonts w:ascii="Palatino Linotype" w:hAnsi="Palatino Linotype" w:cs="Arial"/>
          <w:b/>
        </w:rPr>
        <w:t xml:space="preserve"> RECURSO DE REVISIÓN</w:t>
      </w:r>
      <w:r w:rsidR="00B3668D">
        <w:rPr>
          <w:rFonts w:ascii="Palatino Linotype" w:hAnsi="Palatino Linotype" w:cs="Arial"/>
          <w:b/>
        </w:rPr>
        <w:t xml:space="preserve"> </w:t>
      </w:r>
      <w:r w:rsidR="00B3668D" w:rsidRPr="00CC2D18">
        <w:rPr>
          <w:rFonts w:ascii="Palatino Linotype" w:hAnsi="Palatino Linotype"/>
          <w:b/>
        </w:rPr>
        <w:t>0240</w:t>
      </w:r>
      <w:r w:rsidR="00CC2D18">
        <w:rPr>
          <w:rFonts w:ascii="Palatino Linotype" w:hAnsi="Palatino Linotype"/>
          <w:b/>
        </w:rPr>
        <w:t>9</w:t>
      </w:r>
      <w:r w:rsidR="00B3668D" w:rsidRPr="00CC2D18">
        <w:rPr>
          <w:rFonts w:ascii="Palatino Linotype" w:hAnsi="Palatino Linotype"/>
          <w:b/>
        </w:rPr>
        <w:t>/INFOEM/IP/RR/2018.</w:t>
      </w:r>
    </w:p>
    <w:p w:rsidR="009E22D2" w:rsidRPr="00E42755" w:rsidRDefault="009E22D2" w:rsidP="000F164B">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00AF22AF">
        <w:rPr>
          <w:rFonts w:ascii="Palatino Linotype" w:hAnsi="Palatino Linotype" w:cs="Arial"/>
        </w:rPr>
        <w:t>,</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w:t>
      </w:r>
      <w:r w:rsidR="00B3668D">
        <w:rPr>
          <w:rFonts w:ascii="Palatino Linotype" w:hAnsi="Palatino Linotype" w:cs="Arial"/>
        </w:rPr>
        <w:t xml:space="preserve">o de la resolución dictada en </w:t>
      </w:r>
      <w:r w:rsidR="00C45E7B">
        <w:rPr>
          <w:rFonts w:ascii="Palatino Linotype" w:hAnsi="Palatino Linotype" w:cs="Arial"/>
        </w:rPr>
        <w:t>e</w:t>
      </w:r>
      <w:r w:rsidR="00B3668D">
        <w:rPr>
          <w:rFonts w:ascii="Palatino Linotype" w:hAnsi="Palatino Linotype" w:cs="Arial"/>
        </w:rPr>
        <w:t>l</w:t>
      </w:r>
      <w:r w:rsidRPr="00E42755">
        <w:rPr>
          <w:rFonts w:ascii="Palatino Linotype" w:hAnsi="Palatino Linotype" w:cs="Arial"/>
        </w:rPr>
        <w:t xml:space="preserve"> recurso de revisión </w:t>
      </w:r>
      <w:r w:rsidR="00B3668D" w:rsidRPr="00C45E7B">
        <w:rPr>
          <w:rFonts w:ascii="Palatino Linotype" w:hAnsi="Palatino Linotype"/>
          <w:b/>
        </w:rPr>
        <w:t>0240</w:t>
      </w:r>
      <w:r w:rsidR="00C45E7B">
        <w:rPr>
          <w:rFonts w:ascii="Palatino Linotype" w:hAnsi="Palatino Linotype"/>
          <w:b/>
        </w:rPr>
        <w:t>9</w:t>
      </w:r>
      <w:r w:rsidR="00B3668D" w:rsidRPr="00C45E7B">
        <w:rPr>
          <w:rFonts w:ascii="Palatino Linotype" w:hAnsi="Palatino Linotype"/>
          <w:b/>
        </w:rPr>
        <w:t>/</w:t>
      </w:r>
      <w:r w:rsidR="00C45E7B">
        <w:rPr>
          <w:rFonts w:ascii="Palatino Linotype" w:hAnsi="Palatino Linotype"/>
          <w:b/>
        </w:rPr>
        <w:t>INFOEM/IP/RR/2018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00C45E7B">
        <w:rPr>
          <w:rFonts w:ascii="Palatino Linotype" w:hAnsi="Palatino Linotype" w:cs="Arial"/>
          <w:b/>
        </w:rPr>
        <w:t>JAVIER MARTÍNEZ CRUZ</w:t>
      </w:r>
      <w:r w:rsidRPr="0007653D">
        <w:rPr>
          <w:rFonts w:ascii="Palatino Linotype" w:hAnsi="Palatino Linotype" w:cs="Arial"/>
        </w:rPr>
        <w:t xml:space="preserve">, </w:t>
      </w:r>
      <w:r>
        <w:rPr>
          <w:rFonts w:ascii="Palatino Linotype" w:hAnsi="Palatino Linotype" w:cs="Arial"/>
        </w:rPr>
        <w:t>que es del tenor siguiente.</w:t>
      </w:r>
    </w:p>
    <w:p w:rsidR="009E22D2" w:rsidRDefault="009E22D2" w:rsidP="000F164B">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al recurso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la resolución correspondiente.</w:t>
      </w:r>
    </w:p>
    <w:p w:rsidR="00452FDD" w:rsidRPr="00452FDD" w:rsidRDefault="009E22D2" w:rsidP="000F164B">
      <w:pPr>
        <w:spacing w:before="100" w:beforeAutospacing="1" w:after="100" w:afterAutospacing="1" w:line="360" w:lineRule="auto"/>
        <w:jc w:val="both"/>
        <w:rPr>
          <w:rFonts w:ascii="Palatino Linotype" w:hAnsi="Palatino Linotype"/>
          <w:i/>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B3668D">
        <w:rPr>
          <w:rFonts w:ascii="Palatino Linotype" w:hAnsi="Palatino Linotype"/>
        </w:rPr>
        <w:t>la</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sidR="00452FDD" w:rsidRPr="00452FDD">
        <w:rPr>
          <w:rFonts w:ascii="Palatino Linotype" w:hAnsi="Palatino Linotype"/>
          <w:i/>
        </w:rPr>
        <w:t>“</w:t>
      </w:r>
      <w:r w:rsidRPr="00452FDD">
        <w:rPr>
          <w:rFonts w:ascii="Palatino Linotype" w:hAnsi="Palatino Linotype"/>
          <w:i/>
        </w:rPr>
        <w:t>el histórico de</w:t>
      </w:r>
      <w:r w:rsidR="00C45E7B" w:rsidRPr="00452FDD">
        <w:rPr>
          <w:rFonts w:ascii="Palatino Linotype" w:hAnsi="Palatino Linotype"/>
          <w:i/>
        </w:rPr>
        <w:t xml:space="preserve">l equipo de cómputo existente </w:t>
      </w:r>
      <w:r w:rsidR="00452FDD" w:rsidRPr="00452FDD">
        <w:rPr>
          <w:rFonts w:ascii="Palatino Linotype" w:hAnsi="Palatino Linotype"/>
          <w:i/>
        </w:rPr>
        <w:t>en la universidad, indicando las posiciones de uso de cada equipo, sin omitir nada de información”</w:t>
      </w:r>
      <w:r w:rsidR="00452FDD">
        <w:rPr>
          <w:rFonts w:ascii="Palatino Linotype" w:hAnsi="Palatino Linotype"/>
          <w:i/>
        </w:rPr>
        <w:t xml:space="preserve"> (Sic)</w:t>
      </w:r>
    </w:p>
    <w:p w:rsidR="00452FDD" w:rsidRDefault="009E22D2" w:rsidP="000F164B">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w:t>
      </w:r>
      <w:r w:rsidR="00452FDD">
        <w:rPr>
          <w:rFonts w:ascii="Palatino Linotype" w:hAnsi="Palatino Linotype" w:cs="Arial"/>
        </w:rPr>
        <w:t xml:space="preserve"> su</w:t>
      </w:r>
      <w:r>
        <w:rPr>
          <w:rFonts w:ascii="Palatino Linotype" w:hAnsi="Palatino Linotype" w:cs="Arial"/>
        </w:rPr>
        <w:t xml:space="preserve"> respuesta</w:t>
      </w:r>
      <w:r w:rsidR="00452FDD">
        <w:rPr>
          <w:rFonts w:ascii="Palatino Linotype" w:hAnsi="Palatino Linotype" w:cs="Arial"/>
        </w:rPr>
        <w:t xml:space="preserve"> </w:t>
      </w:r>
      <w:r>
        <w:rPr>
          <w:rFonts w:ascii="Palatino Linotype" w:hAnsi="Palatino Linotype" w:cs="Arial"/>
        </w:rPr>
        <w:t xml:space="preserve">adjuntó diversos archivos, </w:t>
      </w:r>
      <w:r w:rsidR="00452FDD">
        <w:rPr>
          <w:rFonts w:ascii="Palatino Linotype" w:hAnsi="Palatino Linotype" w:cs="Arial"/>
        </w:rPr>
        <w:t>mismo</w:t>
      </w:r>
      <w:r w:rsidR="00D30CA6">
        <w:rPr>
          <w:rFonts w:ascii="Palatino Linotype" w:hAnsi="Palatino Linotype" w:cs="Arial"/>
        </w:rPr>
        <w:t>s</w:t>
      </w:r>
      <w:r w:rsidR="00452FDD">
        <w:rPr>
          <w:rFonts w:ascii="Palatino Linotype" w:hAnsi="Palatino Linotype" w:cs="Arial"/>
        </w:rPr>
        <w:t xml:space="preserve"> que contiene el control de equipo de cómputo referente a las unidades administrativas como lo son Rectoría, </w:t>
      </w:r>
      <w:r w:rsidR="00452FDD">
        <w:rPr>
          <w:rFonts w:ascii="Palatino Linotype" w:hAnsi="Palatino Linotype" w:cs="Arial"/>
          <w:color w:val="000000" w:themeColor="text1"/>
        </w:rPr>
        <w:t xml:space="preserve">Contraloría Interna, Dirección de Administración y Finanzas, Recursos Financieros, Recursos Humanos y Materiales, Subdirección de Servicios Escolares, Biblioteca, Control Escolar, Dirección de Planeación y Vinculación, Departamento de Vinculación y Extensión, Departamento de Información, Planeación, Programación y Evaluación, Ingeniería en Mecatrónica, Ingeniería Industrial y de Sistemas, Ingeniería en Informática, Ingeniería en Biotecnología y Licenciatura en Negocios Internacionales. </w:t>
      </w:r>
    </w:p>
    <w:p w:rsidR="009E22D2" w:rsidRPr="00447785" w:rsidRDefault="009E22D2" w:rsidP="000F164B">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olor w:val="000000"/>
          <w:lang w:val="es-MX" w:eastAsia="es-MX"/>
        </w:rPr>
        <w:t xml:space="preserve">Inconforme con la respuesta proporcionada, </w:t>
      </w:r>
      <w:r w:rsidR="00B3668D">
        <w:rPr>
          <w:rFonts w:ascii="Palatino Linotype" w:hAnsi="Palatino Linotype"/>
          <w:b/>
          <w:color w:val="000000"/>
          <w:lang w:val="es-MX" w:eastAsia="es-MX"/>
        </w:rPr>
        <w:t>LA</w:t>
      </w:r>
      <w:r>
        <w:rPr>
          <w:rFonts w:ascii="Palatino Linotype" w:hAnsi="Palatino Linotype"/>
          <w:b/>
          <w:color w:val="000000"/>
          <w:lang w:val="es-MX" w:eastAsia="es-MX"/>
        </w:rPr>
        <w:t xml:space="preserve">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sidR="00B3668D">
        <w:rPr>
          <w:rFonts w:ascii="Palatino Linotype" w:hAnsi="Palatino Linotype" w:cs="Arial"/>
        </w:rPr>
        <w:t xml:space="preserve">interpuso </w:t>
      </w:r>
      <w:r w:rsidR="00452FDD">
        <w:rPr>
          <w:rFonts w:ascii="Palatino Linotype" w:hAnsi="Palatino Linotype" w:cs="Arial"/>
        </w:rPr>
        <w:t>e</w:t>
      </w:r>
      <w:r>
        <w:rPr>
          <w:rFonts w:ascii="Palatino Linotype" w:hAnsi="Palatino Linotype" w:cs="Arial"/>
        </w:rPr>
        <w:t>l recurso de revisión de mérito.</w:t>
      </w:r>
    </w:p>
    <w:p w:rsidR="00B3668D" w:rsidRDefault="009E22D2" w:rsidP="000F164B">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sidR="00452FDD">
        <w:rPr>
          <w:rFonts w:ascii="Palatino Linotype" w:hAnsi="Palatino Linotype"/>
        </w:rPr>
        <w:t>e</w:t>
      </w:r>
      <w:r w:rsidR="00B3668D">
        <w:rPr>
          <w:rFonts w:ascii="Palatino Linotype" w:hAnsi="Palatino Linotype"/>
        </w:rPr>
        <w:t>l</w:t>
      </w:r>
      <w:r>
        <w:rPr>
          <w:rFonts w:ascii="Palatino Linotype" w:hAnsi="Palatino Linotype"/>
        </w:rPr>
        <w:t xml:space="preserve"> </w:t>
      </w:r>
      <w:r w:rsidRPr="00A01905">
        <w:rPr>
          <w:rFonts w:ascii="Palatino Linotype" w:hAnsi="Palatino Linotype"/>
        </w:rPr>
        <w:t>expediente electrónico</w:t>
      </w:r>
      <w:r>
        <w:rPr>
          <w:rFonts w:ascii="Palatino Linotype" w:hAnsi="Palatino Linotype" w:cs="Arial"/>
        </w:rPr>
        <w:t xml:space="preserve"> la Ponencia Resolutora determinó </w:t>
      </w:r>
      <w:r>
        <w:rPr>
          <w:rFonts w:ascii="Palatino Linotype" w:hAnsi="Palatino Linotype" w:cs="Arial"/>
          <w:b/>
        </w:rPr>
        <w:t xml:space="preserve">MODIFICAR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ordenar </w:t>
      </w:r>
      <w:r w:rsidR="00452FDD">
        <w:rPr>
          <w:rFonts w:ascii="Palatino Linotype" w:hAnsi="Palatino Linotype" w:cs="Arial"/>
        </w:rPr>
        <w:t>v</w:t>
      </w:r>
      <w:r w:rsidR="00EB69E2">
        <w:rPr>
          <w:rFonts w:ascii="Palatino Linotype" w:hAnsi="Palatino Linotype" w:cs="Arial"/>
        </w:rPr>
        <w:t xml:space="preserve">ía SAIMEX, los documentos en donde conste lo siguiente: </w:t>
      </w:r>
    </w:p>
    <w:p w:rsidR="00EB69E2" w:rsidRPr="00EB69E2" w:rsidRDefault="00EB69E2" w:rsidP="000F164B">
      <w:pPr>
        <w:pStyle w:val="Prrafodelista"/>
        <w:numPr>
          <w:ilvl w:val="0"/>
          <w:numId w:val="3"/>
        </w:numPr>
        <w:ind w:left="851" w:right="902" w:firstLine="0"/>
        <w:contextualSpacing/>
        <w:jc w:val="both"/>
        <w:rPr>
          <w:rFonts w:asciiTheme="minorHAnsi" w:hAnsiTheme="minorHAnsi"/>
          <w:i/>
        </w:rPr>
      </w:pPr>
      <w:r w:rsidRPr="00EB69E2">
        <w:rPr>
          <w:rFonts w:ascii="Palatino Linotype" w:hAnsi="Palatino Linotype"/>
          <w:i/>
        </w:rPr>
        <w:t xml:space="preserve">El </w:t>
      </w:r>
      <w:r w:rsidR="00583EAA">
        <w:rPr>
          <w:rFonts w:ascii="Palatino Linotype" w:hAnsi="Palatino Linotype"/>
          <w:i/>
        </w:rPr>
        <w:t xml:space="preserve">registro </w:t>
      </w:r>
      <w:r w:rsidRPr="00EB69E2">
        <w:rPr>
          <w:rFonts w:ascii="Palatino Linotype" w:hAnsi="Palatino Linotype"/>
          <w:i/>
        </w:rPr>
        <w:t>histórico del catorce de noviembre de dos mil seis al cinco de junio de dos mil dieciocho de sus equipos de cómputo y el lugar o posición de uso o asignación.</w:t>
      </w:r>
    </w:p>
    <w:p w:rsidR="00B3668D" w:rsidRPr="00EB69E2" w:rsidRDefault="00EB69E2" w:rsidP="000F164B">
      <w:pPr>
        <w:ind w:left="851" w:right="902"/>
        <w:jc w:val="both"/>
        <w:rPr>
          <w:rFonts w:ascii="Palatino Linotype" w:hAnsi="Palatino Linotype" w:cs="Arial"/>
          <w:i/>
          <w:sz w:val="22"/>
          <w:szCs w:val="22"/>
        </w:rPr>
      </w:pPr>
      <w:r w:rsidRPr="00EB69E2">
        <w:rPr>
          <w:rFonts w:ascii="Palatino Linotype" w:hAnsi="Palatino Linotype"/>
          <w:i/>
          <w:sz w:val="22"/>
          <w:szCs w:val="22"/>
        </w:rPr>
        <w:t>En el supuesto de no localizar la información que se ordena, el Comité de Transparencia deberá emitir Acuerdo de Inexistencia, en términos de los artículos 49 fracciones II y XIII, 169 y 170 de la Ley de Transparencia y Acceso a la Información Pública del Estado de México y Municipios, debiendo notificarlo a la recurrente al momento de dar cumplimiento a la presente resolución.</w:t>
      </w:r>
    </w:p>
    <w:p w:rsidR="009E22D2" w:rsidRDefault="009E22D2" w:rsidP="000F164B">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lastRenderedPageBreak/>
        <w:t>E</w:t>
      </w:r>
      <w:r w:rsidRPr="004F3DBF">
        <w:rPr>
          <w:rFonts w:ascii="Palatino Linotype" w:hAnsi="Palatino Linotype" w:cs="Arial"/>
          <w:lang w:val="es-MX"/>
        </w:rPr>
        <w:t xml:space="preserve">n ese sentido, la que suscribe </w:t>
      </w:r>
      <w:r w:rsidR="00EB69E2">
        <w:rPr>
          <w:rFonts w:ascii="Palatino Linotype" w:hAnsi="Palatino Linotype" w:cs="Arial"/>
          <w:lang w:val="es-MX"/>
        </w:rPr>
        <w:t>reitera, que si bien coincide</w:t>
      </w:r>
      <w:r>
        <w:rPr>
          <w:rFonts w:ascii="Palatino Linotype" w:hAnsi="Palatino Linotype" w:cs="Arial"/>
          <w:lang w:val="es-MX"/>
        </w:rPr>
        <w:t xml:space="preserve"> con las causas que dieron origen al recurso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w:t>
      </w:r>
      <w:r w:rsidR="00BE207C">
        <w:rPr>
          <w:rFonts w:ascii="Palatino Linotype" w:hAnsi="Palatino Linotype" w:cs="Arial"/>
          <w:lang w:val="es-MX"/>
        </w:rPr>
        <w:t xml:space="preserve">que </w:t>
      </w:r>
      <w:r w:rsidR="00AF22AF">
        <w:rPr>
          <w:rFonts w:ascii="Palatino Linotype" w:hAnsi="Palatino Linotype" w:cs="Arial"/>
          <w:lang w:val="es-MX"/>
        </w:rPr>
        <w:t xml:space="preserve">únicamente se ordene el </w:t>
      </w:r>
      <w:r w:rsidR="00D30CA6">
        <w:rPr>
          <w:rFonts w:ascii="Palatino Linotype" w:hAnsi="Palatino Linotype" w:cs="Arial"/>
          <w:lang w:val="es-MX"/>
        </w:rPr>
        <w:t xml:space="preserve">registro </w:t>
      </w:r>
      <w:r w:rsidR="00EB69E2">
        <w:rPr>
          <w:rFonts w:ascii="Palatino Linotype" w:hAnsi="Palatino Linotype" w:cs="Arial"/>
          <w:lang w:val="es-MX"/>
        </w:rPr>
        <w:t xml:space="preserve">histórico </w:t>
      </w:r>
      <w:r w:rsidR="00FC1218">
        <w:rPr>
          <w:rFonts w:ascii="Palatino Linotype" w:hAnsi="Palatino Linotype" w:cs="Arial"/>
          <w:lang w:val="es-MX"/>
        </w:rPr>
        <w:t xml:space="preserve">de equipos de cómputo y el lugar o posición de uso o asignación, </w:t>
      </w:r>
      <w:r w:rsidR="00AF22AF">
        <w:rPr>
          <w:rFonts w:ascii="Palatino Linotype" w:hAnsi="Palatino Linotype" w:cs="Arial"/>
          <w:lang w:val="es-MX"/>
        </w:rPr>
        <w:t>ya que l</w:t>
      </w:r>
      <w:r w:rsidR="00EB69E2">
        <w:rPr>
          <w:rFonts w:ascii="Palatino Linotype" w:hAnsi="Palatino Linotype" w:cs="Arial"/>
          <w:lang w:val="es-MX"/>
        </w:rPr>
        <w:t>a</w:t>
      </w:r>
      <w:r w:rsidR="00AF22AF">
        <w:rPr>
          <w:rFonts w:ascii="Palatino Linotype" w:hAnsi="Palatino Linotype" w:cs="Arial"/>
          <w:lang w:val="es-MX"/>
        </w:rPr>
        <w:t xml:space="preserve"> solicitante al </w:t>
      </w:r>
      <w:r w:rsidR="00FC1218">
        <w:rPr>
          <w:rFonts w:ascii="Palatino Linotype" w:hAnsi="Palatino Linotype" w:cs="Arial"/>
          <w:lang w:val="es-MX"/>
        </w:rPr>
        <w:t>pedir de inicio el histórico del equipo de cómputo</w:t>
      </w:r>
      <w:r w:rsidR="00AF22AF">
        <w:rPr>
          <w:rFonts w:ascii="Palatino Linotype" w:hAnsi="Palatino Linotype" w:cs="Arial"/>
          <w:lang w:val="es-MX"/>
        </w:rPr>
        <w:t xml:space="preserve"> se advierte que es desde la </w:t>
      </w:r>
      <w:r w:rsidR="009169AB">
        <w:rPr>
          <w:rFonts w:ascii="Palatino Linotype" w:hAnsi="Palatino Linotype" w:cs="Arial"/>
          <w:lang w:val="es-MX"/>
        </w:rPr>
        <w:t>fecha de inicio, por lo que es 11</w:t>
      </w:r>
      <w:r w:rsidR="00AF22AF">
        <w:rPr>
          <w:rFonts w:ascii="Palatino Linotype" w:hAnsi="Palatino Linotype" w:cs="Arial"/>
          <w:lang w:val="es-MX"/>
        </w:rPr>
        <w:t xml:space="preserve"> de septiembre de 2006. </w:t>
      </w:r>
    </w:p>
    <w:p w:rsidR="009E22D2" w:rsidRDefault="00BE207C" w:rsidP="000F164B">
      <w:pPr>
        <w:spacing w:before="100" w:beforeAutospacing="1" w:after="100" w:afterAutospacing="1" w:line="360" w:lineRule="auto"/>
        <w:jc w:val="both"/>
        <w:rPr>
          <w:rFonts w:ascii="Palatino Linotype" w:hAnsi="Palatino Linotype"/>
          <w:lang w:val="es-MX"/>
        </w:rPr>
      </w:pPr>
      <w:r>
        <w:rPr>
          <w:rFonts w:ascii="Palatino Linotype" w:hAnsi="Palatino Linotype" w:cs="Arial"/>
          <w:lang w:val="es-MX"/>
        </w:rPr>
        <w:t>Lo anterior es así, ya que la</w:t>
      </w:r>
      <w:r w:rsidR="00AF22AF">
        <w:rPr>
          <w:rFonts w:ascii="Palatino Linotype" w:hAnsi="Palatino Linotype" w:cs="Arial"/>
          <w:lang w:val="es-MX"/>
        </w:rPr>
        <w:t xml:space="preserve"> particular no precisó</w:t>
      </w:r>
      <w:r w:rsidR="009E22D2">
        <w:rPr>
          <w:rFonts w:ascii="Palatino Linotype" w:hAnsi="Palatino Linotype" w:cs="Arial"/>
          <w:lang w:val="es-MX"/>
        </w:rPr>
        <w:t xml:space="preserve"> en su solicitud de información la temporalidad respecto de la cual requería la in</w:t>
      </w:r>
      <w:r>
        <w:rPr>
          <w:rFonts w:ascii="Palatino Linotype" w:hAnsi="Palatino Linotype" w:cs="Arial"/>
          <w:lang w:val="es-MX"/>
        </w:rPr>
        <w:t>formación; por lo que, si bien la</w:t>
      </w:r>
      <w:r w:rsidR="009E22D2">
        <w:rPr>
          <w:rFonts w:ascii="Palatino Linotype" w:hAnsi="Palatino Linotype" w:cs="Arial"/>
          <w:lang w:val="es-MX"/>
        </w:rPr>
        <w:t xml:space="preserve"> hoy </w:t>
      </w:r>
      <w:r w:rsidR="009E22D2">
        <w:rPr>
          <w:rFonts w:ascii="Palatino Linotype" w:hAnsi="Palatino Linotype" w:cs="Arial"/>
          <w:b/>
          <w:lang w:val="es-MX"/>
        </w:rPr>
        <w:t xml:space="preserve">RECURRENTE </w:t>
      </w:r>
      <w:r w:rsidR="009E22D2">
        <w:rPr>
          <w:rFonts w:ascii="Palatino Linotype" w:hAnsi="Palatino Linotype"/>
        </w:rPr>
        <w:t>manifestó que requería el “</w:t>
      </w:r>
      <w:r w:rsidR="000F164B">
        <w:rPr>
          <w:rFonts w:ascii="Palatino Linotype" w:hAnsi="Palatino Linotype"/>
        </w:rPr>
        <w:t>Histórico</w:t>
      </w:r>
      <w:r w:rsidR="009E22D2">
        <w:rPr>
          <w:rFonts w:ascii="Palatino Linotype" w:hAnsi="Palatino Linotype"/>
        </w:rPr>
        <w:t>”, es decir, ante la falta de certez</w:t>
      </w:r>
      <w:r>
        <w:rPr>
          <w:rFonts w:ascii="Palatino Linotype" w:hAnsi="Palatino Linotype"/>
        </w:rPr>
        <w:t>a jurídica de a qué se refería la</w:t>
      </w:r>
      <w:r w:rsidR="009E22D2">
        <w:rPr>
          <w:rFonts w:ascii="Palatino Linotype" w:hAnsi="Palatino Linotype"/>
        </w:rPr>
        <w:t xml:space="preserve"> solicitante con dicha palabra, es que la Ponencia Resolutora debió advertir en el estudio que la Real Academia Española al respecto puntualiza lo siguiente:</w:t>
      </w:r>
    </w:p>
    <w:p w:rsidR="009E22D2" w:rsidRDefault="009E22D2" w:rsidP="000F164B">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9E22D2" w:rsidRDefault="009E22D2" w:rsidP="000F164B">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w:t>
      </w:r>
      <w:r w:rsidR="00716165">
        <w:rPr>
          <w:rFonts w:ascii="Palatino Linotype" w:eastAsia="Arial Unicode MS" w:hAnsi="Palatino Linotype" w:cs="Arial Unicode MS"/>
          <w:i/>
          <w:color w:val="000000"/>
          <w:spacing w:val="4"/>
          <w:sz w:val="22"/>
          <w:szCs w:val="22"/>
        </w:rPr>
        <w:t xml:space="preserve"> </w:t>
      </w:r>
      <w:r>
        <w:rPr>
          <w:rFonts w:ascii="Palatino Linotype" w:eastAsia="Arial Unicode MS" w:hAnsi="Palatino Linotype" w:cs="Arial Unicode MS"/>
          <w:i/>
          <w:color w:val="000000"/>
          <w:spacing w:val="4"/>
          <w:sz w:val="22"/>
          <w:szCs w:val="22"/>
        </w:rPr>
        <w:t>comprobada.</w:t>
      </w:r>
    </w:p>
    <w:p w:rsidR="009E22D2" w:rsidRDefault="009E22D2" w:rsidP="000F164B">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9E22D2" w:rsidRDefault="009E22D2" w:rsidP="000F164B">
      <w:pPr>
        <w:pStyle w:val="j"/>
        <w:shd w:val="clear" w:color="auto" w:fill="FFFFFF"/>
        <w:spacing w:before="0" w:beforeAutospacing="0" w:after="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w:t>
      </w:r>
      <w:r w:rsidR="00716165">
        <w:rPr>
          <w:rFonts w:ascii="Palatino Linotype" w:eastAsia="Arial Unicode MS" w:hAnsi="Palatino Linotype" w:cs="Arial Unicode MS"/>
          <w:i/>
          <w:color w:val="000000"/>
          <w:spacing w:val="4"/>
          <w:sz w:val="22"/>
          <w:szCs w:val="22"/>
        </w:rPr>
        <w:t xml:space="preserve"> </w:t>
      </w:r>
      <w:r>
        <w:rPr>
          <w:rFonts w:ascii="Palatino Linotype" w:eastAsia="Arial Unicode MS" w:hAnsi="Palatino Linotype" w:cs="Arial Unicode MS"/>
          <w:i/>
          <w:color w:val="000000"/>
          <w:spacing w:val="4"/>
          <w:sz w:val="22"/>
          <w:szCs w:val="22"/>
        </w:rPr>
        <w:t>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9E22D2" w:rsidRDefault="009E22D2" w:rsidP="000F164B">
      <w:pPr>
        <w:spacing w:before="100" w:beforeAutospacing="1" w:after="100" w:afterAutospacing="1" w:line="360" w:lineRule="auto"/>
        <w:jc w:val="both"/>
        <w:rPr>
          <w:rFonts w:ascii="Palatino Linotype" w:hAnsi="Palatino Linotype"/>
        </w:rPr>
      </w:pPr>
      <w:r>
        <w:rPr>
          <w:rFonts w:ascii="Palatino Linotype" w:hAnsi="Palatino Linotype"/>
        </w:rPr>
        <w:t xml:space="preserve">En ese sentido, es que la suscrita considera que la Ponencia Resolutora debió suplir </w:t>
      </w:r>
      <w:r>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Pr>
          <w:rFonts w:ascii="Palatino Linotype" w:hAnsi="Palatino Linotype"/>
        </w:rPr>
        <w:t xml:space="preserve">resultando importante precisar que el Decreto de creación del </w:t>
      </w:r>
      <w:r>
        <w:rPr>
          <w:rFonts w:ascii="Palatino Linotype" w:hAnsi="Palatino Linotype"/>
          <w:b/>
        </w:rPr>
        <w:t xml:space="preserve">SUJETO OBLIGADO </w:t>
      </w:r>
      <w:r>
        <w:rPr>
          <w:rFonts w:ascii="Palatino Linotype" w:hAnsi="Palatino Linotype"/>
        </w:rPr>
        <w:t xml:space="preserve">fue publicado en fecha </w:t>
      </w:r>
      <w:r>
        <w:rPr>
          <w:rFonts w:ascii="Palatino Linotype" w:hAnsi="Palatino Linotype"/>
          <w:b/>
        </w:rPr>
        <w:t>13 de noviembre de 2006,</w:t>
      </w:r>
      <w:r>
        <w:rPr>
          <w:rFonts w:ascii="Palatino Linotype" w:hAnsi="Palatino Linotype"/>
        </w:rPr>
        <w:t xml:space="preserve"> en el Periódico Oficial “Gaceta del Gobierno”; sin embargo, el Plan de Desarrollo Institucional 2012-2017 del propio </w:t>
      </w:r>
      <w:r>
        <w:rPr>
          <w:rFonts w:ascii="Palatino Linotype" w:hAnsi="Palatino Linotype"/>
          <w:b/>
        </w:rPr>
        <w:t xml:space="preserve">SUJETO OBLIGADO </w:t>
      </w:r>
      <w:r>
        <w:rPr>
          <w:rFonts w:ascii="Palatino Linotype" w:hAnsi="Palatino Linotype"/>
        </w:rPr>
        <w:t xml:space="preserve">publicado en </w:t>
      </w:r>
      <w:r>
        <w:rPr>
          <w:rFonts w:ascii="Palatino Linotype" w:hAnsi="Palatino Linotype"/>
          <w:b/>
        </w:rPr>
        <w:lastRenderedPageBreak/>
        <w:t>febrero de 2012</w:t>
      </w:r>
      <w:r>
        <w:rPr>
          <w:rFonts w:ascii="Palatino Linotype" w:hAnsi="Palatino Linotype"/>
        </w:rPr>
        <w:t xml:space="preserve">, señala que </w:t>
      </w:r>
      <w:r w:rsidR="00BE207C">
        <w:rPr>
          <w:rFonts w:ascii="Palatino Linotype" w:hAnsi="Palatino Linotype"/>
        </w:rPr>
        <w:t xml:space="preserve">la </w:t>
      </w:r>
      <w:r>
        <w:rPr>
          <w:rFonts w:ascii="Palatino Linotype" w:hAnsi="Palatino Linotype"/>
          <w:b/>
        </w:rPr>
        <w:t>Universidad Politécnica del Valle de Toluca inició sus operaciones el 11 de septiembre de 2006</w:t>
      </w:r>
      <w:r>
        <w:rPr>
          <w:rFonts w:ascii="Palatino Linotype" w:hAnsi="Palatino Linotype"/>
        </w:rPr>
        <w:t xml:space="preserve">, con una oferta educativa inicial de diversos programas, por lo que la entrega de información debe comprender desde dicha fecha y </w:t>
      </w:r>
      <w:r w:rsidR="00BE207C">
        <w:rPr>
          <w:rFonts w:ascii="Palatino Linotype" w:hAnsi="Palatino Linotype"/>
        </w:rPr>
        <w:t xml:space="preserve">a </w:t>
      </w:r>
      <w:r>
        <w:rPr>
          <w:rFonts w:ascii="Palatino Linotype" w:hAnsi="Palatino Linotype"/>
        </w:rPr>
        <w:t>la de presentación de</w:t>
      </w:r>
      <w:r w:rsidR="00BE207C">
        <w:rPr>
          <w:rFonts w:ascii="Palatino Linotype" w:hAnsi="Palatino Linotype"/>
        </w:rPr>
        <w:t xml:space="preserve"> la </w:t>
      </w:r>
      <w:r>
        <w:rPr>
          <w:rFonts w:ascii="Palatino Linotype" w:hAnsi="Palatino Linotype"/>
        </w:rPr>
        <w:t>solicitud de información, es decir</w:t>
      </w:r>
      <w:r w:rsidR="00BE207C">
        <w:rPr>
          <w:rFonts w:ascii="Palatino Linotype" w:hAnsi="Palatino Linotype"/>
        </w:rPr>
        <w:t xml:space="preserve">, al </w:t>
      </w:r>
      <w:r w:rsidR="00115871">
        <w:rPr>
          <w:rFonts w:ascii="Palatino Linotype" w:hAnsi="Palatino Linotype"/>
        </w:rPr>
        <w:t>5</w:t>
      </w:r>
      <w:r w:rsidR="00BE207C">
        <w:rPr>
          <w:rFonts w:ascii="Palatino Linotype" w:hAnsi="Palatino Linotype"/>
        </w:rPr>
        <w:t xml:space="preserve"> de </w:t>
      </w:r>
      <w:r w:rsidR="00115871">
        <w:rPr>
          <w:rFonts w:ascii="Palatino Linotype" w:hAnsi="Palatino Linotype"/>
        </w:rPr>
        <w:t xml:space="preserve">junio </w:t>
      </w:r>
      <w:r w:rsidR="00BE207C">
        <w:rPr>
          <w:rFonts w:ascii="Palatino Linotype" w:hAnsi="Palatino Linotype"/>
        </w:rPr>
        <w:t>de 2018;</w:t>
      </w:r>
      <w:r>
        <w:rPr>
          <w:rFonts w:ascii="Palatino Linotype" w:hAnsi="Palatino Linotype"/>
        </w:rPr>
        <w:t xml:space="preserve"> sirven de sustento</w:t>
      </w:r>
      <w:r w:rsidR="00BE207C">
        <w:rPr>
          <w:rFonts w:ascii="Palatino Linotype" w:hAnsi="Palatino Linotype"/>
        </w:rPr>
        <w:t>,</w:t>
      </w:r>
      <w:r>
        <w:rPr>
          <w:rFonts w:ascii="Palatino Linotype" w:hAnsi="Palatino Linotype"/>
        </w:rPr>
        <w:t xml:space="preserve"> las siguientes imágenes ilustrativas:</w:t>
      </w:r>
    </w:p>
    <w:p w:rsidR="009E22D2" w:rsidRDefault="009E22D2" w:rsidP="000F164B">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drawing>
          <wp:inline distT="0" distB="0" distL="0" distR="0" wp14:anchorId="4B42FEB2" wp14:editId="6431D352">
            <wp:extent cx="5648325" cy="49720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3293" cy="4994029"/>
                    </a:xfrm>
                    <a:prstGeom prst="rect">
                      <a:avLst/>
                    </a:prstGeom>
                    <a:noFill/>
                    <a:ln w="9525" cmpd="sng">
                      <a:solidFill>
                        <a:srgbClr val="000000"/>
                      </a:solidFill>
                      <a:miter lim="800000"/>
                      <a:headEnd/>
                      <a:tailEnd/>
                    </a:ln>
                    <a:effectLst/>
                  </pic:spPr>
                </pic:pic>
              </a:graphicData>
            </a:graphic>
          </wp:inline>
        </w:drawing>
      </w:r>
    </w:p>
    <w:p w:rsidR="009E22D2" w:rsidRDefault="009E22D2" w:rsidP="000F164B">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6684D6C4" wp14:editId="112FFF36">
            <wp:extent cx="5418455" cy="7103745"/>
            <wp:effectExtent l="19050" t="19050" r="1079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7103745"/>
                    </a:xfrm>
                    <a:prstGeom prst="rect">
                      <a:avLst/>
                    </a:prstGeom>
                    <a:noFill/>
                    <a:ln w="9525" cmpd="sng">
                      <a:solidFill>
                        <a:srgbClr val="000000"/>
                      </a:solidFill>
                      <a:miter lim="800000"/>
                      <a:headEnd/>
                      <a:tailEnd/>
                    </a:ln>
                    <a:effectLst/>
                  </pic:spPr>
                </pic:pic>
              </a:graphicData>
            </a:graphic>
          </wp:inline>
        </w:drawing>
      </w:r>
    </w:p>
    <w:p w:rsidR="009E22D2" w:rsidRPr="003A25B5" w:rsidRDefault="009E22D2" w:rsidP="000F164B">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lo que, a criterio de</w:t>
      </w:r>
      <w:r w:rsidRPr="009F03BA">
        <w:rPr>
          <w:rFonts w:ascii="Palatino Linotype" w:hAnsi="Palatino Linotype" w:cs="Arial"/>
        </w:rPr>
        <w:t xml:space="preserve"> </w:t>
      </w:r>
      <w:r>
        <w:rPr>
          <w:rFonts w:ascii="Palatino Linotype" w:hAnsi="Palatino Linotype" w:cs="Arial"/>
        </w:rPr>
        <w:t>la suscrita la Ponencia Resolutora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sidR="00BE207C">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exhaustividad y congruencia determinar que la temporalidad de entrega de la información ordenada en el Resolutivo SEGUNDO c</w:t>
      </w:r>
      <w:r w:rsidR="009169AB">
        <w:rPr>
          <w:rFonts w:ascii="Palatino Linotype" w:hAnsi="Palatino Linotype" w:cs="Arial"/>
        </w:rPr>
        <w:t>orrespondería del 11</w:t>
      </w:r>
      <w:r w:rsidR="00BE207C">
        <w:rPr>
          <w:rFonts w:ascii="Palatino Linotype" w:hAnsi="Palatino Linotype" w:cs="Arial"/>
        </w:rPr>
        <w:t xml:space="preserve"> de septiembre</w:t>
      </w:r>
      <w:r w:rsidR="00115871">
        <w:rPr>
          <w:rFonts w:ascii="Palatino Linotype" w:hAnsi="Palatino Linotype" w:cs="Arial"/>
        </w:rPr>
        <w:t xml:space="preserve"> de 2006 al 5 de junio</w:t>
      </w:r>
      <w:r w:rsidR="00D30CA6">
        <w:rPr>
          <w:rFonts w:ascii="Palatino Linotype" w:hAnsi="Palatino Linotype" w:cs="Arial"/>
        </w:rPr>
        <w:t xml:space="preserve"> de 2018;</w:t>
      </w:r>
      <w:r>
        <w:rPr>
          <w:rFonts w:ascii="Palatino Linotype" w:hAnsi="Palatino Linotype" w:cs="Arial"/>
        </w:rPr>
        <w:t xml:space="preserve"> ello</w:t>
      </w:r>
      <w:r w:rsidR="00D30CA6">
        <w:rPr>
          <w:rFonts w:ascii="Palatino Linotype" w:hAnsi="Palatino Linotype" w:cs="Arial"/>
        </w:rPr>
        <w:t>,</w:t>
      </w:r>
      <w:r>
        <w:rPr>
          <w:rFonts w:ascii="Palatino Linotype" w:hAnsi="Palatino Linotype" w:cs="Arial"/>
        </w:rPr>
        <w:t xml:space="preserve"> a fin de garantizar la máxima publicidad y</w:t>
      </w:r>
      <w:r w:rsidR="00BE207C">
        <w:rPr>
          <w:rFonts w:ascii="Palatino Linotype" w:hAnsi="Palatino Linotype" w:cs="Arial"/>
        </w:rPr>
        <w:t xml:space="preserve"> que exista concordancia entre los</w:t>
      </w:r>
      <w:r>
        <w:rPr>
          <w:rFonts w:ascii="Palatino Linotype" w:hAnsi="Palatino Linotype" w:cs="Arial"/>
        </w:rPr>
        <w:t xml:space="preserve"> requerimiento</w:t>
      </w:r>
      <w:r w:rsidR="00BE207C">
        <w:rPr>
          <w:rFonts w:ascii="Palatino Linotype" w:hAnsi="Palatino Linotype" w:cs="Arial"/>
        </w:rPr>
        <w:t>s formulado</w:t>
      </w:r>
      <w:r w:rsidR="00115871">
        <w:rPr>
          <w:rFonts w:ascii="Palatino Linotype" w:hAnsi="Palatino Linotype" w:cs="Arial"/>
        </w:rPr>
        <w:t>s</w:t>
      </w:r>
      <w:r w:rsidR="00BE207C">
        <w:rPr>
          <w:rFonts w:ascii="Palatino Linotype" w:hAnsi="Palatino Linotype" w:cs="Arial"/>
        </w:rPr>
        <w:t xml:space="preserve"> por la</w:t>
      </w:r>
      <w:r>
        <w:rPr>
          <w:rFonts w:ascii="Palatino Linotype" w:hAnsi="Palatino Linotype" w:cs="Arial"/>
        </w:rPr>
        <w:t xml:space="preserve"> particular y lo que se determin</w:t>
      </w:r>
      <w:r w:rsidR="005F473E">
        <w:rPr>
          <w:rFonts w:ascii="Palatino Linotype" w:hAnsi="Palatino Linotype" w:cs="Arial"/>
        </w:rPr>
        <w:t>ó</w:t>
      </w:r>
      <w:r>
        <w:rPr>
          <w:rFonts w:ascii="Palatino Linotype" w:hAnsi="Palatino Linotype" w:cs="Arial"/>
        </w:rPr>
        <w:t xml:space="preserve"> ordenar al </w:t>
      </w:r>
      <w:r w:rsidR="00D30CA6">
        <w:rPr>
          <w:rFonts w:ascii="Palatino Linotype" w:hAnsi="Palatino Linotype" w:cs="Arial"/>
          <w:b/>
        </w:rPr>
        <w:t>SUJETO OBLIGADO.</w:t>
      </w:r>
    </w:p>
    <w:p w:rsidR="009E22D2" w:rsidRDefault="009E22D2" w:rsidP="000F164B">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9E22D2" w:rsidRPr="00D621C2" w:rsidRDefault="009E22D2" w:rsidP="00C26C00">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9E22D2" w:rsidRDefault="009E22D2" w:rsidP="00C26C00">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9E22D2" w:rsidRDefault="009E22D2" w:rsidP="00C26C00">
      <w:pPr>
        <w:ind w:left="851" w:right="902"/>
        <w:jc w:val="both"/>
        <w:rPr>
          <w:rFonts w:ascii="Palatino Linotype" w:hAnsi="Palatino Linotype" w:cs="Arial"/>
          <w:bCs/>
          <w:i/>
          <w:sz w:val="22"/>
          <w:lang w:val="es-MX"/>
        </w:rPr>
      </w:pPr>
      <w:r>
        <w:rPr>
          <w:rFonts w:ascii="Palatino Linotype" w:hAnsi="Palatino Linotype" w:cs="Arial"/>
          <w:bCs/>
          <w:i/>
          <w:sz w:val="22"/>
        </w:rPr>
        <w:t>Época: Décima Época “</w:t>
      </w:r>
    </w:p>
    <w:p w:rsidR="005F473E" w:rsidRDefault="005F473E" w:rsidP="000F164B">
      <w:pPr>
        <w:spacing w:before="100" w:beforeAutospacing="1" w:after="100" w:afterAutospacing="1" w:line="360" w:lineRule="auto"/>
        <w:jc w:val="both"/>
        <w:rPr>
          <w:rFonts w:ascii="Palatino Linotype" w:hAnsi="Palatino Linotype" w:cs="Arial"/>
          <w:color w:val="000000"/>
        </w:rPr>
      </w:pPr>
      <w:r w:rsidRPr="006656DD">
        <w:rPr>
          <w:rFonts w:ascii="Palatino Linotype" w:hAnsi="Palatino Linotype"/>
        </w:rPr>
        <w:lastRenderedPageBreak/>
        <w:t xml:space="preserve">Ahora bien, </w:t>
      </w:r>
      <w:r>
        <w:rPr>
          <w:rFonts w:ascii="Palatino Linotype" w:hAnsi="Palatino Linotype"/>
        </w:rPr>
        <w:t xml:space="preserve">en </w:t>
      </w:r>
      <w:r w:rsidR="00D30CA6">
        <w:rPr>
          <w:rFonts w:ascii="Palatino Linotype" w:hAnsi="Palatino Linotype"/>
        </w:rPr>
        <w:t xml:space="preserve">cuanto hace a </w:t>
      </w:r>
      <w:r>
        <w:rPr>
          <w:rFonts w:ascii="Palatino Linotype" w:hAnsi="Palatino Linotype"/>
        </w:rPr>
        <w:t xml:space="preserve">la modalidad es que </w:t>
      </w:r>
      <w:r w:rsidR="00C26C00">
        <w:rPr>
          <w:rFonts w:ascii="Palatino Linotype" w:hAnsi="Palatino Linotype"/>
        </w:rPr>
        <w:t xml:space="preserve">se </w:t>
      </w:r>
      <w:r>
        <w:rPr>
          <w:rFonts w:ascii="Palatino Linotype" w:hAnsi="Palatino Linotype"/>
        </w:rPr>
        <w:t>debió</w:t>
      </w:r>
      <w:r w:rsidR="00C26C00">
        <w:rPr>
          <w:rFonts w:ascii="Palatino Linotype" w:hAnsi="Palatino Linotype"/>
        </w:rPr>
        <w:t xml:space="preserve"> precisar</w:t>
      </w:r>
      <w:r w:rsidRPr="006656DD">
        <w:rPr>
          <w:rFonts w:ascii="Palatino Linotype" w:hAnsi="Palatino Linotype"/>
        </w:rPr>
        <w:t xml:space="preserve"> que la información de la que se ordena su entrega corresponde a un periodo de tiempo considerable (2006-2018) y en atención a ello y privilegiando el derecho de acceso a la información ejercido por la particular, </w:t>
      </w:r>
      <w:r w:rsidR="00D30CA6">
        <w:rPr>
          <w:rFonts w:ascii="Palatino Linotype" w:hAnsi="Palatino Linotype"/>
        </w:rPr>
        <w:t xml:space="preserve">es la razón </w:t>
      </w:r>
      <w:r w:rsidRPr="006656DD">
        <w:rPr>
          <w:rFonts w:ascii="Palatino Linotype" w:hAnsi="Palatino Linotype"/>
        </w:rPr>
        <w:t>por la</w:t>
      </w:r>
      <w:r w:rsidR="00D30CA6">
        <w:rPr>
          <w:rFonts w:ascii="Palatino Linotype" w:hAnsi="Palatino Linotype"/>
        </w:rPr>
        <w:t xml:space="preserve"> cual</w:t>
      </w:r>
      <w:r w:rsidRPr="006656DD">
        <w:rPr>
          <w:rFonts w:ascii="Palatino Linotype" w:hAnsi="Palatino Linotype"/>
        </w:rPr>
        <w:t xml:space="preserve"> se considera que se justifica una imposibilidad material para ordenar su entrega en la modalidad solicitada; es por lo que, </w:t>
      </w:r>
      <w:r>
        <w:rPr>
          <w:rFonts w:ascii="Palatino Linotype" w:hAnsi="Palatino Linotype"/>
        </w:rPr>
        <w:t xml:space="preserve">a criterio de la suscrita se debió determinar </w:t>
      </w:r>
      <w:r w:rsidRPr="006656DD">
        <w:rPr>
          <w:rFonts w:ascii="Palatino Linotype" w:hAnsi="Palatino Linotype"/>
          <w:b/>
        </w:rPr>
        <w:t>procedente el cambio de modalidad</w:t>
      </w:r>
      <w:r w:rsidRPr="006656DD">
        <w:rPr>
          <w:rFonts w:ascii="Palatino Linotype" w:hAnsi="Palatino Linotype"/>
        </w:rPr>
        <w:t xml:space="preserve">, ello conforme al tercer párrafo del artículo 17 de la Constitución Política de los estados Unidos Mexicanos, en el que se establece que </w:t>
      </w:r>
      <w:r w:rsidRPr="006656DD">
        <w:rPr>
          <w:rFonts w:ascii="Palatino Linotype" w:hAnsi="Palatino Linotype"/>
          <w:b/>
        </w:rPr>
        <w:t>siempre que no se afecte la igualdad entre las partes</w:t>
      </w:r>
      <w:r w:rsidRPr="006656DD">
        <w:rPr>
          <w:rFonts w:ascii="Palatino Linotype" w:hAnsi="Palatino Linotype"/>
        </w:rPr>
        <w:t xml:space="preserve">, el debido proceso u otros derechos en los juicios o procedimientos seguidos en forma de juicio, </w:t>
      </w:r>
      <w:r w:rsidRPr="006656DD">
        <w:rPr>
          <w:rFonts w:ascii="Palatino Linotype" w:hAnsi="Palatino Linotype"/>
          <w:b/>
        </w:rPr>
        <w:t>las autoridades deberán privilegiar la solución del conflicto sobre los formalismos procedimentales</w:t>
      </w:r>
      <w:r w:rsidRPr="006656DD">
        <w:rPr>
          <w:rFonts w:ascii="Palatino Linotype" w:hAnsi="Palatino Linotype"/>
        </w:rPr>
        <w:t>; por lo que, resulta</w:t>
      </w:r>
      <w:r>
        <w:rPr>
          <w:rFonts w:ascii="Palatino Linotype" w:hAnsi="Palatino Linotype"/>
        </w:rPr>
        <w:t>ba</w:t>
      </w:r>
      <w:r w:rsidRPr="006656DD">
        <w:rPr>
          <w:rFonts w:ascii="Palatino Linotype" w:hAnsi="Palatino Linotype"/>
        </w:rPr>
        <w:t xml:space="preserve"> procedente el cambio de modalidad de la entrega de la información pública solicitada por la hoy </w:t>
      </w:r>
      <w:r w:rsidRPr="006656DD">
        <w:rPr>
          <w:rFonts w:ascii="Palatino Linotype" w:hAnsi="Palatino Linotype" w:cs="Arial"/>
          <w:b/>
          <w:color w:val="000000"/>
        </w:rPr>
        <w:t xml:space="preserve">RECURRENTE </w:t>
      </w:r>
      <w:r w:rsidRPr="006656DD">
        <w:rPr>
          <w:rFonts w:ascii="Palatino Linotype" w:hAnsi="Palatino Linotype" w:cs="Arial"/>
          <w:color w:val="000000"/>
        </w:rPr>
        <w:t>del</w:t>
      </w:r>
      <w:r w:rsidRPr="006656DD">
        <w:rPr>
          <w:rFonts w:ascii="Palatino Linotype" w:hAnsi="Palatino Linotype" w:cs="Arial"/>
          <w:b/>
          <w:color w:val="000000"/>
        </w:rPr>
        <w:t xml:space="preserve"> SAIMEX</w:t>
      </w:r>
      <w:r w:rsidRPr="006656DD">
        <w:rPr>
          <w:rFonts w:ascii="Palatino Linotype" w:hAnsi="Palatino Linotype" w:cs="Arial"/>
          <w:color w:val="000000"/>
        </w:rPr>
        <w:t xml:space="preserve"> a consulta </w:t>
      </w:r>
      <w:r w:rsidRPr="006656DD">
        <w:rPr>
          <w:rFonts w:ascii="Palatino Linotype" w:hAnsi="Palatino Linotype" w:cs="Arial"/>
          <w:b/>
          <w:color w:val="000000"/>
        </w:rPr>
        <w:t>IN SITU</w:t>
      </w:r>
      <w:r w:rsidRPr="005F473E">
        <w:rPr>
          <w:rFonts w:ascii="Palatino Linotype" w:hAnsi="Palatino Linotype" w:cs="Arial"/>
          <w:color w:val="000000"/>
        </w:rPr>
        <w:t>.</w:t>
      </w:r>
    </w:p>
    <w:p w:rsidR="005F473E" w:rsidRPr="006656DD" w:rsidRDefault="005F473E" w:rsidP="000F164B">
      <w:pPr>
        <w:spacing w:before="100" w:beforeAutospacing="1" w:after="100" w:afterAutospacing="1" w:line="360" w:lineRule="auto"/>
        <w:jc w:val="both"/>
        <w:rPr>
          <w:rFonts w:ascii="Palatino Linotype" w:eastAsia="Arial Unicode MS" w:hAnsi="Palatino Linotype" w:cs="Arial"/>
        </w:rPr>
      </w:pPr>
      <w:r w:rsidRPr="006656DD">
        <w:rPr>
          <w:rFonts w:ascii="Palatino Linotype" w:eastAsia="Arial Unicode MS" w:hAnsi="Palatino Linotype" w:cs="Arial"/>
        </w:rPr>
        <w:t xml:space="preserve">En sustento a lo anterior, es aplicable el Criterio 8/13, emitido por el Pleno del </w:t>
      </w:r>
      <w:r w:rsidRPr="006656DD">
        <w:rPr>
          <w:rFonts w:ascii="Palatino Linotype" w:eastAsia="Arial Unicode MS" w:hAnsi="Palatino Linotype" w:cs="Arial"/>
          <w:bCs/>
        </w:rPr>
        <w:t xml:space="preserve">Instituto Federal de Acceso a la Información y Protección de Datos, </w:t>
      </w:r>
      <w:r w:rsidRPr="006656DD">
        <w:rPr>
          <w:rFonts w:ascii="Palatino Linotype" w:eastAsia="Arial Unicode MS" w:hAnsi="Palatino Linotype" w:cs="Arial"/>
        </w:rPr>
        <w:t xml:space="preserve">ahora Instituto Nacional de Transparencia, Acceso a la Información y Protección de Datos Personales (INAI), que establece: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“Cuando exista impedimento justificado de atender la modalidad de entrega elegida por el solicitante, procede ofrecer todas las demás opciones previstas en la Ley. De conformidad con lo dispuesto en los artículos 42 y 44 de la Ley Federal de Transparencia y Acceso a la Información Pública Gubernamental, y 54 de su Reglamento, la entrega de la información debe hacerse, en la medida de lo posible, en la forma solicitada por el interesado, </w:t>
      </w:r>
      <w:r w:rsidRPr="006656DD">
        <w:rPr>
          <w:rFonts w:ascii="Palatino Linotype" w:hAnsi="Palatino Linotype"/>
          <w:b/>
          <w:i/>
          <w:sz w:val="22"/>
          <w:szCs w:val="22"/>
        </w:rPr>
        <w:t xml:space="preserve">salvo que exista un impedimento justificado para atenderla, en cuyo caso, deberán exponerse las razones por las cuales no es posible utilizar el medio de reproducción solicitado. En este </w:t>
      </w:r>
      <w:r w:rsidRPr="006656DD">
        <w:rPr>
          <w:rFonts w:ascii="Palatino Linotype" w:hAnsi="Palatino Linotype"/>
          <w:b/>
          <w:i/>
          <w:sz w:val="22"/>
          <w:szCs w:val="22"/>
        </w:rPr>
        <w:lastRenderedPageBreak/>
        <w:t>sentido, la entrega de la información en una modalidad distinta a la elegida por el particular sólo procede, en caso de que se acredite la imposibilidad de atenderla</w:t>
      </w:r>
      <w:r w:rsidRPr="006656DD">
        <w:rPr>
          <w:rFonts w:ascii="Palatino Linotype" w:hAnsi="Palatino Linotype"/>
          <w:i/>
          <w:sz w:val="22"/>
          <w:szCs w:val="22"/>
        </w:rPr>
        <w:t xml:space="preserve">. Lo anterior, ya que si bien, los sujetos obligados deben privilegiar, en todo momento, el derecho de acceso a la información, ello no implica que desvíen su objeto sustancial en la atención y trámite de las solicitudes efectuadas bajo la tutela de dicho derecho. </w:t>
      </w:r>
      <w:r w:rsidRPr="006656DD">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6656DD">
        <w:rPr>
          <w:rFonts w:ascii="Palatino Linotype" w:hAnsi="Palatino Linotype"/>
          <w:i/>
          <w:sz w:val="22"/>
          <w:szCs w:val="22"/>
        </w:rPr>
        <w:t xml:space="preserve">, copias simples y certificadas, así como la reproducción en cualquier otro medio e indicarle, </w:t>
      </w:r>
      <w:r w:rsidRPr="006656DD">
        <w:rPr>
          <w:rFonts w:ascii="Palatino Linotype" w:hAnsi="Palatino Linotype"/>
          <w:b/>
          <w:i/>
          <w:sz w:val="22"/>
          <w:szCs w:val="22"/>
        </w:rPr>
        <w:t>en su caso, los costos de reproducción y envío, para que pueda estar en aptitud de elegir la que sea de su interés o la que más le convenga.</w:t>
      </w:r>
      <w:r w:rsidRPr="006656DD">
        <w:rPr>
          <w:rFonts w:ascii="Palatino Linotype" w:hAnsi="Palatino Linotype"/>
          <w:i/>
          <w:sz w:val="22"/>
          <w:szCs w:val="22"/>
        </w:rPr>
        <w:t xml:space="preserve">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Resoluciones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sym w:font="Symbol" w:char="F0B7"/>
      </w:r>
      <w:r w:rsidRPr="006656DD">
        <w:rPr>
          <w:rFonts w:ascii="Palatino Linotype" w:hAnsi="Palatino Linotype"/>
          <w:i/>
          <w:sz w:val="22"/>
          <w:szCs w:val="22"/>
        </w:rPr>
        <w:t xml:space="preserve"> RDA 2012/12. Interpuesto en contra de la Secretaría de Comunicaciones y Transportes. Comisionada Ponente Jacqueline </w:t>
      </w:r>
      <w:proofErr w:type="spellStart"/>
      <w:r w:rsidRPr="006656DD">
        <w:rPr>
          <w:rFonts w:ascii="Palatino Linotype" w:hAnsi="Palatino Linotype"/>
          <w:i/>
          <w:sz w:val="22"/>
          <w:szCs w:val="22"/>
        </w:rPr>
        <w:t>Peschard</w:t>
      </w:r>
      <w:proofErr w:type="spellEnd"/>
      <w:r w:rsidRPr="006656DD">
        <w:rPr>
          <w:rFonts w:ascii="Palatino Linotype" w:hAnsi="Palatino Linotype"/>
          <w:i/>
          <w:sz w:val="22"/>
          <w:szCs w:val="22"/>
        </w:rPr>
        <w:t xml:space="preserve"> Mariscal.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sym w:font="Symbol" w:char="F0B7"/>
      </w:r>
      <w:r w:rsidRPr="006656DD">
        <w:rPr>
          <w:rFonts w:ascii="Palatino Linotype" w:hAnsi="Palatino Linotype"/>
          <w:i/>
          <w:sz w:val="22"/>
          <w:szCs w:val="22"/>
        </w:rPr>
        <w:t xml:space="preserve"> RDA 0973/12. Interpuesto en contra de la Secretaría de Educación Pública. Comisionada Ponente Sigrid </w:t>
      </w:r>
      <w:proofErr w:type="spellStart"/>
      <w:r w:rsidRPr="006656DD">
        <w:rPr>
          <w:rFonts w:ascii="Palatino Linotype" w:hAnsi="Palatino Linotype"/>
          <w:i/>
          <w:sz w:val="22"/>
          <w:szCs w:val="22"/>
        </w:rPr>
        <w:t>Arzt</w:t>
      </w:r>
      <w:proofErr w:type="spellEnd"/>
      <w:r w:rsidRPr="006656DD">
        <w:rPr>
          <w:rFonts w:ascii="Palatino Linotype" w:hAnsi="Palatino Linotype"/>
          <w:i/>
          <w:sz w:val="22"/>
          <w:szCs w:val="22"/>
        </w:rPr>
        <w:t xml:space="preserve"> Colunga.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sym w:font="Symbol" w:char="F0B7"/>
      </w:r>
      <w:r w:rsidRPr="006656DD">
        <w:rPr>
          <w:rFonts w:ascii="Palatino Linotype" w:hAnsi="Palatino Linotype"/>
          <w:i/>
          <w:sz w:val="22"/>
          <w:szCs w:val="22"/>
        </w:rPr>
        <w:t xml:space="preserve"> RDA 0112/12. Interpuesto en contra de Petróleos Mexicanos. Comisionado Ponente Ángel Trinidad Zaldívar.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sym w:font="Symbol" w:char="F0B7"/>
      </w:r>
      <w:r w:rsidRPr="006656DD">
        <w:rPr>
          <w:rFonts w:ascii="Palatino Linotype" w:hAnsi="Palatino Linotype"/>
          <w:i/>
          <w:sz w:val="22"/>
          <w:szCs w:val="22"/>
        </w:rPr>
        <w:t xml:space="preserve"> RDA 0085/12. Interpuesto en contra del Instituto Nacional de Ciencias Médicas y Nutrición Salvador </w:t>
      </w:r>
      <w:proofErr w:type="spellStart"/>
      <w:r w:rsidRPr="006656DD">
        <w:rPr>
          <w:rFonts w:ascii="Palatino Linotype" w:hAnsi="Palatino Linotype"/>
          <w:i/>
          <w:sz w:val="22"/>
          <w:szCs w:val="22"/>
        </w:rPr>
        <w:t>Zubirán</w:t>
      </w:r>
      <w:proofErr w:type="spellEnd"/>
      <w:r w:rsidRPr="006656DD">
        <w:rPr>
          <w:rFonts w:ascii="Palatino Linotype" w:hAnsi="Palatino Linotype"/>
          <w:i/>
          <w:sz w:val="22"/>
          <w:szCs w:val="22"/>
        </w:rPr>
        <w:t xml:space="preserve">. Comisionada Ponente Sigrid </w:t>
      </w:r>
      <w:proofErr w:type="spellStart"/>
      <w:r w:rsidRPr="006656DD">
        <w:rPr>
          <w:rFonts w:ascii="Palatino Linotype" w:hAnsi="Palatino Linotype"/>
          <w:i/>
          <w:sz w:val="22"/>
          <w:szCs w:val="22"/>
        </w:rPr>
        <w:t>Arzt</w:t>
      </w:r>
      <w:proofErr w:type="spellEnd"/>
      <w:r w:rsidRPr="006656DD">
        <w:rPr>
          <w:rFonts w:ascii="Palatino Linotype" w:hAnsi="Palatino Linotype"/>
          <w:i/>
          <w:sz w:val="22"/>
          <w:szCs w:val="22"/>
        </w:rPr>
        <w:t xml:space="preserve"> Colunga. </w:t>
      </w:r>
    </w:p>
    <w:p w:rsidR="005F473E" w:rsidRPr="006656DD" w:rsidRDefault="005F473E" w:rsidP="00C26C00">
      <w:pPr>
        <w:ind w:left="851" w:right="902"/>
        <w:contextualSpacing/>
        <w:jc w:val="both"/>
        <w:rPr>
          <w:rFonts w:ascii="Palatino Linotype" w:hAnsi="Palatino Linotype"/>
          <w:b/>
          <w:i/>
          <w:sz w:val="22"/>
          <w:szCs w:val="22"/>
        </w:rPr>
      </w:pPr>
      <w:r w:rsidRPr="006656DD">
        <w:rPr>
          <w:rFonts w:ascii="Palatino Linotype" w:hAnsi="Palatino Linotype"/>
          <w:i/>
          <w:sz w:val="22"/>
          <w:szCs w:val="22"/>
        </w:rPr>
        <w:sym w:font="Symbol" w:char="F0B7"/>
      </w:r>
      <w:r w:rsidRPr="006656DD">
        <w:rPr>
          <w:rFonts w:ascii="Palatino Linotype" w:hAnsi="Palatino Linotype"/>
          <w:i/>
          <w:sz w:val="22"/>
          <w:szCs w:val="22"/>
        </w:rPr>
        <w:t xml:space="preserve"> 3068/11. Interpuesto en contra de la Presidencia de la República. Comisionada Ponente María Elena Pérez-Jaén Zermeño.</w:t>
      </w:r>
      <w:r w:rsidRPr="006656DD">
        <w:rPr>
          <w:rFonts w:ascii="Palatino Linotype" w:hAnsi="Palatino Linotype"/>
          <w:b/>
          <w:i/>
          <w:sz w:val="22"/>
          <w:szCs w:val="22"/>
        </w:rPr>
        <w:t>”</w:t>
      </w:r>
    </w:p>
    <w:p w:rsidR="00C26C00" w:rsidRDefault="00C26C00" w:rsidP="000F164B">
      <w:pPr>
        <w:spacing w:before="100" w:beforeAutospacing="1" w:after="100" w:afterAutospacing="1" w:line="360" w:lineRule="auto"/>
        <w:ind w:right="1043"/>
        <w:contextualSpacing/>
        <w:jc w:val="both"/>
        <w:rPr>
          <w:rFonts w:ascii="Palatino Linotype" w:hAnsi="Palatino Linotype"/>
        </w:rPr>
      </w:pPr>
    </w:p>
    <w:p w:rsidR="005F473E" w:rsidRPr="006656DD" w:rsidRDefault="005F473E" w:rsidP="000F164B">
      <w:pPr>
        <w:spacing w:before="100" w:beforeAutospacing="1" w:after="100" w:afterAutospacing="1" w:line="360" w:lineRule="auto"/>
        <w:ind w:right="1043"/>
        <w:contextualSpacing/>
        <w:jc w:val="both"/>
        <w:rPr>
          <w:rFonts w:ascii="Palatino Linotype" w:hAnsi="Palatino Linotype"/>
        </w:rPr>
      </w:pPr>
      <w:r w:rsidRPr="006656DD">
        <w:rPr>
          <w:rFonts w:ascii="Palatino Linotype" w:hAnsi="Palatino Linotype"/>
        </w:rPr>
        <w:t>De igual forma, es aplicable la siguiente Tesis Aislada:</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b/>
          <w:i/>
          <w:sz w:val="22"/>
          <w:szCs w:val="22"/>
        </w:rPr>
        <w:t>“</w:t>
      </w:r>
      <w:r w:rsidRPr="006656DD">
        <w:rPr>
          <w:rFonts w:ascii="Palatino Linotype" w:hAnsi="Palatino Linotype"/>
          <w:i/>
          <w:sz w:val="22"/>
          <w:szCs w:val="22"/>
        </w:rPr>
        <w:t xml:space="preserve">Época: Décima Época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Registro: 2016171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Instancia: Tribunales Colegiados de Circuito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Tipo de Tesis: Aislada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Fuente: Gaceta del Semanario Judicial de la Federación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Libro 51, Febrero de 2018, Tomo III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Materia(s): Constitucional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Tesis: (IV Región</w:t>
      </w:r>
      <w:proofErr w:type="gramStart"/>
      <w:r w:rsidRPr="006656DD">
        <w:rPr>
          <w:rFonts w:ascii="Palatino Linotype" w:hAnsi="Palatino Linotype"/>
          <w:i/>
          <w:sz w:val="22"/>
          <w:szCs w:val="22"/>
        </w:rPr>
        <w:t>)2o.13</w:t>
      </w:r>
      <w:proofErr w:type="gramEnd"/>
      <w:r w:rsidRPr="006656DD">
        <w:rPr>
          <w:rFonts w:ascii="Palatino Linotype" w:hAnsi="Palatino Linotype"/>
          <w:i/>
          <w:sz w:val="22"/>
          <w:szCs w:val="22"/>
        </w:rPr>
        <w:t xml:space="preserve"> K (10a.)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 xml:space="preserve">Página: 1524 </w:t>
      </w: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b/>
          <w:i/>
          <w:sz w:val="22"/>
          <w:szCs w:val="22"/>
        </w:rPr>
        <w:lastRenderedPageBreak/>
        <w:t>PRINCIPIO DE MAYOR BENEFICIO FRENTE A FORMALISMOS PROCEDIMENTALES Y SOLUCIONES DE FONDO DE LOS CONFLICTOS. ÉSTAS DEBEN PRIVILEGIARSE FRENTE A AQUÉLLOS, SIEMPRE QUE NO SE AFECTE LA IGUALDAD DE LAS PARTES, EL DEBIDO PROCESO U OTROS DERECHOS</w:t>
      </w:r>
      <w:r w:rsidRPr="006656DD">
        <w:rPr>
          <w:rFonts w:ascii="Palatino Linotype" w:hAnsi="Palatino Linotype"/>
          <w:i/>
          <w:sz w:val="22"/>
          <w:szCs w:val="22"/>
        </w:rPr>
        <w:t xml:space="preserve">. Durante mucho tiempo fue motivo de crítica para los tribunales de amparo que las sentencias protectoras se concedieran por aspectos formales o procedimentales y no por temas de fondo; lo cual motivó que mediante la expedición de la nueva Ley de Amparo (publicada en el Diario Oficial de la Federación el dos de abril de dos mil trece), se estableciera en su artículo 189 que los órganos jurisdiccionales de amparo procederían al estudio de los conceptos de violación atendiendo a su prelación lógica, pero privilegiando en todo momento el principio de mayor beneficio; y fue en ese contexto que por reforma al precepto 17 de la Constitución General de la República publicada en el Diario Oficial de la Federación el 15 de septiembre de 2017, se adicionó a dicho dispositivo un tercer párrafo, en el que se puntualizó </w:t>
      </w:r>
      <w:r w:rsidRPr="006656DD">
        <w:rPr>
          <w:rFonts w:ascii="Palatino Linotype" w:hAnsi="Palatino Linotype"/>
          <w:b/>
          <w:i/>
          <w:sz w:val="22"/>
          <w:szCs w:val="22"/>
        </w:rPr>
        <w:t>"Siempre que no se afecte la igualdad entre las partes, el debido proceso u otros derechos en los juicios o procedimientos seguidos en forma de juicio, las autoridades deberán privilegiar la solución del conflicto sobre los formalismos procedimentales."</w:t>
      </w:r>
      <w:r w:rsidRPr="006656DD">
        <w:rPr>
          <w:rFonts w:ascii="Palatino Linotype" w:hAnsi="Palatino Linotype"/>
          <w:i/>
          <w:sz w:val="22"/>
          <w:szCs w:val="22"/>
        </w:rPr>
        <w:t>. Por tanto, acorde con esa aspiración social y en estricto acatamiento a los artículos citados, en los juicios o en los procedimientos relativos, todas las autoridades deben privilegiar la solución del conflicto sobre los formalismos procedimentales, con la única limitante de que no se afecte la igualdad de las partes, el debido proceso u otros derechos.</w:t>
      </w:r>
    </w:p>
    <w:p w:rsidR="005F473E" w:rsidRPr="006656DD" w:rsidRDefault="005F473E" w:rsidP="00C26C00">
      <w:pPr>
        <w:ind w:left="851" w:right="902"/>
        <w:contextualSpacing/>
        <w:jc w:val="both"/>
        <w:rPr>
          <w:rFonts w:ascii="Palatino Linotype" w:hAnsi="Palatino Linotype"/>
          <w:i/>
          <w:sz w:val="22"/>
          <w:szCs w:val="22"/>
        </w:rPr>
      </w:pP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SEGUNDO TRIBUNAL COLEGIADO DE CIRCUITO DEL CENTRO AUXILIAR DE LA CUARTA REGIÓN.</w:t>
      </w:r>
    </w:p>
    <w:p w:rsidR="005F473E" w:rsidRPr="006656DD" w:rsidRDefault="005F473E" w:rsidP="00C26C00">
      <w:pPr>
        <w:ind w:left="851" w:right="902"/>
        <w:contextualSpacing/>
        <w:jc w:val="both"/>
        <w:rPr>
          <w:rFonts w:ascii="Palatino Linotype" w:hAnsi="Palatino Linotype"/>
          <w:i/>
          <w:sz w:val="22"/>
          <w:szCs w:val="22"/>
        </w:rPr>
      </w:pPr>
    </w:p>
    <w:p w:rsidR="005F473E" w:rsidRPr="006656DD" w:rsidRDefault="005F473E" w:rsidP="00C26C00">
      <w:pPr>
        <w:ind w:left="851" w:right="902"/>
        <w:contextualSpacing/>
        <w:jc w:val="both"/>
        <w:rPr>
          <w:rFonts w:ascii="Palatino Linotype" w:hAnsi="Palatino Linotype"/>
          <w:i/>
          <w:sz w:val="22"/>
          <w:szCs w:val="22"/>
        </w:rPr>
      </w:pPr>
      <w:r w:rsidRPr="006656DD">
        <w:rPr>
          <w:rFonts w:ascii="Palatino Linotype" w:hAnsi="Palatino Linotype"/>
          <w:i/>
          <w:sz w:val="22"/>
          <w:szCs w:val="22"/>
        </w:rPr>
        <w:t>Amparo directo 411/2017 (cuaderno auxiliar 783/2017) del índice del Tribunal Colegiado en Materias Civil y Administrativa del Décimo Cuarto Circuito, con apoyo del Segundo Tribunal Colegiado de Circuito del Centro Auxiliar de la Cuarta Región, con residencia en Xalapa, Veracruz. 19 de octubre de 2017. Unanimidad de votos. Ponente: Adrián Avendaño Constantino. Secretario: Ángel Rosas Solano.</w:t>
      </w:r>
    </w:p>
    <w:p w:rsidR="005F473E" w:rsidRPr="006656DD" w:rsidRDefault="005F473E" w:rsidP="00C26C00">
      <w:pPr>
        <w:ind w:left="851" w:right="902"/>
        <w:contextualSpacing/>
        <w:jc w:val="both"/>
        <w:rPr>
          <w:rFonts w:ascii="Palatino Linotype" w:hAnsi="Palatino Linotype"/>
          <w:i/>
          <w:sz w:val="22"/>
          <w:szCs w:val="22"/>
        </w:rPr>
      </w:pPr>
    </w:p>
    <w:p w:rsidR="005F473E" w:rsidRPr="006656DD" w:rsidRDefault="005F473E" w:rsidP="00C26C00">
      <w:pPr>
        <w:ind w:left="851" w:right="902"/>
        <w:jc w:val="both"/>
        <w:rPr>
          <w:rFonts w:ascii="Palatino Linotype" w:hAnsi="Palatino Linotype"/>
          <w:i/>
          <w:sz w:val="22"/>
          <w:szCs w:val="22"/>
        </w:rPr>
      </w:pPr>
      <w:r w:rsidRPr="006656DD">
        <w:rPr>
          <w:rFonts w:ascii="Palatino Linotype" w:hAnsi="Palatino Linotype"/>
          <w:i/>
          <w:sz w:val="22"/>
          <w:szCs w:val="22"/>
        </w:rPr>
        <w:t>Esta tesis se publicó el viernes 02 de febrero de 2018 a las 10:04 horas en el Semanario Judicial de la Federación.</w:t>
      </w:r>
      <w:r w:rsidRPr="006656DD">
        <w:rPr>
          <w:rFonts w:ascii="Palatino Linotype" w:hAnsi="Palatino Linotype"/>
          <w:b/>
          <w:i/>
          <w:sz w:val="22"/>
          <w:szCs w:val="22"/>
        </w:rPr>
        <w:t>”</w:t>
      </w:r>
    </w:p>
    <w:p w:rsidR="005F473E" w:rsidRPr="006656DD" w:rsidRDefault="005F473E" w:rsidP="000F164B">
      <w:pPr>
        <w:widowControl w:val="0"/>
        <w:autoSpaceDE w:val="0"/>
        <w:autoSpaceDN w:val="0"/>
        <w:adjustRightInd w:val="0"/>
        <w:spacing w:before="100" w:beforeAutospacing="1" w:after="100" w:afterAutospacing="1" w:line="360" w:lineRule="auto"/>
        <w:jc w:val="both"/>
        <w:rPr>
          <w:rFonts w:ascii="Palatino Linotype" w:hAnsi="Palatino Linotype"/>
        </w:rPr>
      </w:pPr>
      <w:r w:rsidRPr="006656DD">
        <w:rPr>
          <w:rFonts w:ascii="Palatino Linotype" w:eastAsia="Arial Unicode MS" w:hAnsi="Palatino Linotype" w:cs="Arial"/>
        </w:rPr>
        <w:t xml:space="preserve">Así, debe decirse que de conformidad con el artículo 166 de la Ley de la materia el Titular de la Unidad de Transparencia debe entregar los documentos solicitados en la </w:t>
      </w:r>
      <w:r w:rsidRPr="006656DD">
        <w:rPr>
          <w:rFonts w:ascii="Palatino Linotype" w:eastAsia="Arial Unicode MS" w:hAnsi="Palatino Linotype" w:cs="Arial"/>
        </w:rPr>
        <w:lastRenderedPageBreak/>
        <w:t xml:space="preserve">modalidad elegida por la particular, </w:t>
      </w:r>
      <w:r w:rsidRPr="006656DD">
        <w:rPr>
          <w:rFonts w:ascii="Palatino Linotype" w:eastAsia="Arial Unicode MS" w:hAnsi="Palatino Linotype" w:cs="Arial"/>
          <w:b/>
        </w:rPr>
        <w:t>y sólo en caso de que no sea posible hacer la entrega en forma electrónica</w:t>
      </w:r>
      <w:r w:rsidRPr="006656DD">
        <w:rPr>
          <w:rFonts w:ascii="Palatino Linotype" w:eastAsia="Arial Unicode MS" w:hAnsi="Palatino Linotype" w:cs="Arial"/>
        </w:rPr>
        <w:t xml:space="preserve"> </w:t>
      </w:r>
      <w:r w:rsidR="009B3F10">
        <w:rPr>
          <w:rFonts w:ascii="Palatino Linotype" w:eastAsia="Arial Unicode MS" w:hAnsi="Palatino Linotype" w:cs="Arial"/>
        </w:rPr>
        <w:t xml:space="preserve">en razón al </w:t>
      </w:r>
      <w:r w:rsidRPr="006656DD">
        <w:rPr>
          <w:rFonts w:ascii="Palatino Linotype" w:eastAsia="Arial Unicode MS" w:hAnsi="Palatino Linotype" w:cs="Arial"/>
        </w:rPr>
        <w:t>volumen de la información</w:t>
      </w:r>
      <w:r w:rsidR="009B3F10">
        <w:rPr>
          <w:rFonts w:ascii="Palatino Linotype" w:eastAsia="Arial Unicode MS" w:hAnsi="Palatino Linotype" w:cs="Arial"/>
        </w:rPr>
        <w:t xml:space="preserve">, por lo que </w:t>
      </w:r>
      <w:r w:rsidRPr="006656DD">
        <w:rPr>
          <w:rFonts w:ascii="Palatino Linotype" w:eastAsia="Arial Unicode MS" w:hAnsi="Palatino Linotype" w:cs="Arial"/>
          <w:b/>
        </w:rPr>
        <w:t>EL SUJETO OBLIGADO</w:t>
      </w:r>
      <w:r w:rsidRPr="006656DD">
        <w:rPr>
          <w:rFonts w:ascii="Palatino Linotype" w:eastAsia="Arial Unicode MS" w:hAnsi="Palatino Linotype" w:cs="Arial"/>
        </w:rPr>
        <w:t xml:space="preserve"> deberá </w:t>
      </w:r>
      <w:r w:rsidRPr="006656DD">
        <w:rPr>
          <w:rFonts w:ascii="Palatino Linotype" w:hAnsi="Palatino Linotype"/>
        </w:rPr>
        <w:t xml:space="preserve">informar la fecha con los días, horas y lugar habilitado para realizar la consulta directa a fin de colmar el derecho de acceso a la información pública de </w:t>
      </w:r>
      <w:r w:rsidRPr="006656DD">
        <w:rPr>
          <w:rFonts w:ascii="Palatino Linotype" w:hAnsi="Palatino Linotype"/>
          <w:b/>
        </w:rPr>
        <w:t>LA</w:t>
      </w:r>
      <w:r w:rsidRPr="006656DD">
        <w:rPr>
          <w:rFonts w:ascii="Palatino Linotype" w:hAnsi="Palatino Linotype"/>
        </w:rPr>
        <w:t xml:space="preserve"> </w:t>
      </w:r>
      <w:r w:rsidRPr="006656DD">
        <w:rPr>
          <w:rFonts w:ascii="Palatino Linotype" w:hAnsi="Palatino Linotype"/>
          <w:b/>
        </w:rPr>
        <w:t>RECURRENTE</w:t>
      </w:r>
      <w:r w:rsidR="00787116">
        <w:rPr>
          <w:rFonts w:ascii="Palatino Linotype" w:hAnsi="Palatino Linotype"/>
        </w:rPr>
        <w:t>;</w:t>
      </w:r>
      <w:r w:rsidRPr="006656DD">
        <w:rPr>
          <w:rFonts w:ascii="Palatino Linotype" w:hAnsi="Palatino Linotype"/>
        </w:rPr>
        <w:t xml:space="preserve"> lo anterior, de conformidad con lo que establecen los Lineamientos generales en materia de clasificación y desclasificación de la información, así como para la elaboración de versiones públicas, que señalan:</w:t>
      </w:r>
    </w:p>
    <w:p w:rsidR="005F473E" w:rsidRPr="006656DD" w:rsidRDefault="005F473E" w:rsidP="00B9272D">
      <w:pPr>
        <w:widowControl w:val="0"/>
        <w:autoSpaceDE w:val="0"/>
        <w:autoSpaceDN w:val="0"/>
        <w:adjustRightInd w:val="0"/>
        <w:ind w:left="851" w:right="899"/>
        <w:jc w:val="center"/>
        <w:rPr>
          <w:rFonts w:ascii="Palatino Linotype" w:hAnsi="Palatino Linotype"/>
          <w:b/>
          <w:i/>
          <w:sz w:val="22"/>
        </w:rPr>
      </w:pPr>
      <w:r w:rsidRPr="006656DD">
        <w:rPr>
          <w:rFonts w:ascii="Palatino Linotype" w:hAnsi="Palatino Linotype"/>
          <w:b/>
          <w:i/>
          <w:sz w:val="22"/>
        </w:rPr>
        <w:t>“DE LA CONSULTA DIRECTA</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b/>
          <w:i/>
          <w:sz w:val="22"/>
        </w:rPr>
        <w:t xml:space="preserve">Septuagésimo. </w:t>
      </w:r>
      <w:r w:rsidRPr="006656DD">
        <w:rPr>
          <w:rFonts w:ascii="Palatino Linotype" w:hAnsi="Palatino Linotype"/>
          <w:i/>
          <w:sz w:val="22"/>
        </w:rPr>
        <w:t xml:space="preserve">Para el </w:t>
      </w:r>
      <w:r w:rsidRPr="006656DD">
        <w:rPr>
          <w:rFonts w:ascii="Palatino Linotype" w:hAnsi="Palatino Linotype"/>
          <w:b/>
          <w:i/>
          <w:sz w:val="22"/>
        </w:rPr>
        <w:t>desahogo de las actuaciones</w:t>
      </w:r>
      <w:r w:rsidRPr="006656DD">
        <w:rPr>
          <w:rFonts w:ascii="Palatino Linotype" w:hAnsi="Palatino Linotype"/>
          <w:i/>
          <w:sz w:val="22"/>
        </w:rPr>
        <w:t xml:space="preserve"> tendientes a permitir la </w:t>
      </w:r>
      <w:r w:rsidRPr="006656DD">
        <w:rPr>
          <w:rFonts w:ascii="Palatino Linotype" w:hAnsi="Palatino Linotype"/>
          <w:b/>
          <w:i/>
          <w:sz w:val="22"/>
        </w:rPr>
        <w:t>consulta directa</w:t>
      </w:r>
      <w:r w:rsidRPr="006656DD">
        <w:rPr>
          <w:rFonts w:ascii="Palatino Linotype" w:hAnsi="Palatino Linotype"/>
          <w:i/>
          <w:sz w:val="22"/>
        </w:rPr>
        <w:t xml:space="preserve">, </w:t>
      </w:r>
      <w:r w:rsidRPr="006656DD">
        <w:rPr>
          <w:rFonts w:ascii="Palatino Linotype" w:hAnsi="Palatino Linotype"/>
          <w:b/>
          <w:i/>
          <w:sz w:val="22"/>
        </w:rPr>
        <w:t>en los casos en que ésta resulte procedente</w:t>
      </w:r>
      <w:r w:rsidRPr="006656DD">
        <w:rPr>
          <w:rFonts w:ascii="Palatino Linotype" w:hAnsi="Palatino Linotype"/>
          <w:i/>
          <w:sz w:val="22"/>
        </w:rPr>
        <w:t xml:space="preserve">, los sujetos obligados </w:t>
      </w:r>
      <w:r w:rsidRPr="006656DD">
        <w:rPr>
          <w:rFonts w:ascii="Palatino Linotype" w:hAnsi="Palatino Linotype"/>
          <w:b/>
          <w:i/>
          <w:sz w:val="22"/>
        </w:rPr>
        <w:t>deberán observar lo siguiente</w:t>
      </w:r>
      <w:r w:rsidRPr="006656DD">
        <w:rPr>
          <w:rFonts w:ascii="Palatino Linotype" w:hAnsi="Palatino Linotype"/>
          <w:i/>
          <w:sz w:val="22"/>
        </w:rPr>
        <w:t>:</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 xml:space="preserve">I. </w:t>
      </w:r>
      <w:r w:rsidRPr="006656DD">
        <w:rPr>
          <w:rFonts w:ascii="Palatino Linotype" w:hAnsi="Palatino Linotype"/>
          <w:b/>
          <w:i/>
          <w:sz w:val="22"/>
        </w:rPr>
        <w:t>Señalar claramente al particular, en la respuesta a su solicitud, el lugar, día y hora en que se podrá llevar a cabo la consulta de la documentación solicitada</w:t>
      </w:r>
      <w:r w:rsidRPr="006656DD">
        <w:rPr>
          <w:rFonts w:ascii="Palatino Linotype" w:hAnsi="Palatino Linotype"/>
          <w:i/>
          <w:sz w:val="22"/>
        </w:rPr>
        <w:t>.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II. En su caso, la procedencia de los ajustes razonables solicitados y/o la procedencia de acceso en la lengua indígena requerida;</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 xml:space="preserve">III. </w:t>
      </w:r>
      <w:r w:rsidRPr="006656DD">
        <w:rPr>
          <w:rFonts w:ascii="Palatino Linotype" w:hAnsi="Palatino Linotype"/>
          <w:b/>
          <w:i/>
          <w:sz w:val="22"/>
        </w:rPr>
        <w:t>Indicar claramente la ubicación del lugar en que el solicitante podrá llevar a cabo la consulta de la información</w:t>
      </w:r>
      <w:r w:rsidRPr="006656DD">
        <w:rPr>
          <w:rFonts w:ascii="Palatino Linotype" w:hAnsi="Palatino Linotype"/>
          <w:i/>
          <w:sz w:val="22"/>
        </w:rPr>
        <w:t xml:space="preserve"> debiendo ser éste, en la medida de lo posible, </w:t>
      </w:r>
      <w:r w:rsidRPr="006656DD">
        <w:rPr>
          <w:rFonts w:ascii="Palatino Linotype" w:hAnsi="Palatino Linotype"/>
          <w:b/>
          <w:i/>
          <w:sz w:val="22"/>
        </w:rPr>
        <w:t>el domicilio de la Unidad de Transparencia, así como el nombre, cargo y datos de contacto del personal que le permitirá el acceso</w:t>
      </w:r>
      <w:r w:rsidRPr="006656DD">
        <w:rPr>
          <w:rFonts w:ascii="Palatino Linotype" w:hAnsi="Palatino Linotype"/>
          <w:i/>
          <w:sz w:val="22"/>
        </w:rPr>
        <w:t>;</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IV. Proporcionar al solicitante las facilidades y asistencia requerida para la consulta de los documentos;</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 xml:space="preserve">V. </w:t>
      </w:r>
      <w:r w:rsidRPr="006656DD">
        <w:rPr>
          <w:rFonts w:ascii="Palatino Linotype" w:hAnsi="Palatino Linotype"/>
          <w:b/>
          <w:i/>
          <w:sz w:val="22"/>
        </w:rPr>
        <w:t>Abstenerse de requerir al solicitante que acredite interés alguno</w:t>
      </w:r>
      <w:r w:rsidRPr="006656DD">
        <w:rPr>
          <w:rFonts w:ascii="Palatino Linotype" w:hAnsi="Palatino Linotype"/>
          <w:i/>
          <w:sz w:val="22"/>
        </w:rPr>
        <w:t>;</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 xml:space="preserve">VI. </w:t>
      </w:r>
      <w:r w:rsidRPr="006656DD">
        <w:rPr>
          <w:rFonts w:ascii="Palatino Linotype" w:hAnsi="Palatino Linotype"/>
          <w:b/>
          <w:i/>
          <w:sz w:val="22"/>
        </w:rPr>
        <w:t>Adoptar las medidas técnicas, físicas, administrativas y demás que resulten necesarias para garantizar la integridad de la información a consultar</w:t>
      </w:r>
      <w:r w:rsidRPr="006656DD">
        <w:rPr>
          <w:rFonts w:ascii="Palatino Linotype" w:hAnsi="Palatino Linotype"/>
          <w:i/>
          <w:sz w:val="22"/>
        </w:rPr>
        <w:t>, de conformidad con las características específicas del documento solicitado, tales como:</w:t>
      </w:r>
    </w:p>
    <w:p w:rsidR="005F473E" w:rsidRPr="006656DD" w:rsidRDefault="005F473E" w:rsidP="00B9272D">
      <w:pPr>
        <w:pStyle w:val="Prrafodelista"/>
        <w:widowControl w:val="0"/>
        <w:numPr>
          <w:ilvl w:val="0"/>
          <w:numId w:val="4"/>
        </w:numPr>
        <w:autoSpaceDE w:val="0"/>
        <w:autoSpaceDN w:val="0"/>
        <w:adjustRightInd w:val="0"/>
        <w:ind w:left="1843" w:right="902"/>
        <w:jc w:val="both"/>
        <w:rPr>
          <w:rFonts w:ascii="Palatino Linotype" w:hAnsi="Palatino Linotype"/>
          <w:i/>
        </w:rPr>
      </w:pPr>
      <w:r w:rsidRPr="006656DD">
        <w:rPr>
          <w:rFonts w:ascii="Palatino Linotype" w:hAnsi="Palatino Linotype"/>
          <w:i/>
        </w:rPr>
        <w:t xml:space="preserve">Contar con instalaciones y mobiliario adecuado para asegurar tanto la integridad del documento consultado, como para proporcionar al solicitante las mejores condiciones para poder llevar a cabo la consulta </w:t>
      </w:r>
      <w:r w:rsidRPr="006656DD">
        <w:rPr>
          <w:rFonts w:ascii="Palatino Linotype" w:hAnsi="Palatino Linotype"/>
          <w:i/>
        </w:rPr>
        <w:lastRenderedPageBreak/>
        <w:t>directa;</w:t>
      </w:r>
    </w:p>
    <w:p w:rsidR="005F473E" w:rsidRPr="006656DD" w:rsidRDefault="005F473E" w:rsidP="00B9272D">
      <w:pPr>
        <w:pStyle w:val="Prrafodelista"/>
        <w:widowControl w:val="0"/>
        <w:numPr>
          <w:ilvl w:val="0"/>
          <w:numId w:val="4"/>
        </w:numPr>
        <w:autoSpaceDE w:val="0"/>
        <w:autoSpaceDN w:val="0"/>
        <w:adjustRightInd w:val="0"/>
        <w:ind w:left="1843" w:right="902"/>
        <w:jc w:val="both"/>
        <w:rPr>
          <w:rFonts w:ascii="Palatino Linotype" w:hAnsi="Palatino Linotype"/>
          <w:i/>
        </w:rPr>
      </w:pPr>
      <w:r w:rsidRPr="006656DD">
        <w:rPr>
          <w:rFonts w:ascii="Palatino Linotype" w:hAnsi="Palatino Linotype"/>
          <w:b/>
          <w:i/>
        </w:rPr>
        <w:t>Equipo y personal de vigilancia</w:t>
      </w:r>
      <w:r w:rsidRPr="006656DD">
        <w:rPr>
          <w:rFonts w:ascii="Palatino Linotype" w:hAnsi="Palatino Linotype"/>
          <w:i/>
        </w:rPr>
        <w:t>;</w:t>
      </w:r>
    </w:p>
    <w:p w:rsidR="005F473E" w:rsidRPr="006656DD" w:rsidRDefault="005F473E" w:rsidP="00B9272D">
      <w:pPr>
        <w:pStyle w:val="Prrafodelista"/>
        <w:widowControl w:val="0"/>
        <w:numPr>
          <w:ilvl w:val="0"/>
          <w:numId w:val="4"/>
        </w:numPr>
        <w:autoSpaceDE w:val="0"/>
        <w:autoSpaceDN w:val="0"/>
        <w:adjustRightInd w:val="0"/>
        <w:ind w:left="1843" w:right="902"/>
        <w:jc w:val="both"/>
        <w:rPr>
          <w:rFonts w:ascii="Palatino Linotype" w:hAnsi="Palatino Linotype"/>
          <w:i/>
        </w:rPr>
      </w:pPr>
      <w:r w:rsidRPr="006656DD">
        <w:rPr>
          <w:rFonts w:ascii="Palatino Linotype" w:hAnsi="Palatino Linotype"/>
          <w:i/>
        </w:rPr>
        <w:t>Plan de acción contra robo o vandalismo;</w:t>
      </w:r>
    </w:p>
    <w:p w:rsidR="005F473E" w:rsidRPr="006656DD" w:rsidRDefault="005F473E" w:rsidP="00B9272D">
      <w:pPr>
        <w:pStyle w:val="Prrafodelista"/>
        <w:widowControl w:val="0"/>
        <w:numPr>
          <w:ilvl w:val="0"/>
          <w:numId w:val="4"/>
        </w:numPr>
        <w:autoSpaceDE w:val="0"/>
        <w:autoSpaceDN w:val="0"/>
        <w:adjustRightInd w:val="0"/>
        <w:ind w:left="1843" w:right="902"/>
        <w:jc w:val="both"/>
        <w:rPr>
          <w:rFonts w:ascii="Palatino Linotype" w:hAnsi="Palatino Linotype"/>
          <w:i/>
        </w:rPr>
      </w:pPr>
      <w:r w:rsidRPr="006656DD">
        <w:rPr>
          <w:rFonts w:ascii="Palatino Linotype" w:hAnsi="Palatino Linotype"/>
          <w:i/>
        </w:rPr>
        <w:t>Extintores de fuego de gas inocuo;</w:t>
      </w:r>
    </w:p>
    <w:p w:rsidR="005F473E" w:rsidRPr="006656DD" w:rsidRDefault="005F473E" w:rsidP="00B9272D">
      <w:pPr>
        <w:pStyle w:val="Prrafodelista"/>
        <w:widowControl w:val="0"/>
        <w:numPr>
          <w:ilvl w:val="0"/>
          <w:numId w:val="4"/>
        </w:numPr>
        <w:autoSpaceDE w:val="0"/>
        <w:autoSpaceDN w:val="0"/>
        <w:adjustRightInd w:val="0"/>
        <w:ind w:left="1843" w:right="902"/>
        <w:jc w:val="both"/>
        <w:rPr>
          <w:rFonts w:ascii="Palatino Linotype" w:hAnsi="Palatino Linotype"/>
          <w:i/>
        </w:rPr>
      </w:pPr>
      <w:r w:rsidRPr="006656DD">
        <w:rPr>
          <w:rFonts w:ascii="Palatino Linotype" w:hAnsi="Palatino Linotype"/>
          <w:b/>
          <w:i/>
        </w:rPr>
        <w:t>Registro e identificación del personal autorizado para el tratamiento de los documentos o expedientes a revisar</w:t>
      </w:r>
      <w:r w:rsidRPr="006656DD">
        <w:rPr>
          <w:rFonts w:ascii="Palatino Linotype" w:hAnsi="Palatino Linotype"/>
          <w:i/>
        </w:rPr>
        <w:t>;</w:t>
      </w:r>
    </w:p>
    <w:p w:rsidR="005F473E" w:rsidRPr="006656DD" w:rsidRDefault="005F473E" w:rsidP="00B9272D">
      <w:pPr>
        <w:pStyle w:val="Prrafodelista"/>
        <w:widowControl w:val="0"/>
        <w:numPr>
          <w:ilvl w:val="0"/>
          <w:numId w:val="4"/>
        </w:numPr>
        <w:autoSpaceDE w:val="0"/>
        <w:autoSpaceDN w:val="0"/>
        <w:adjustRightInd w:val="0"/>
        <w:ind w:left="1843" w:right="902"/>
        <w:jc w:val="both"/>
        <w:rPr>
          <w:rFonts w:ascii="Palatino Linotype" w:hAnsi="Palatino Linotype"/>
          <w:i/>
        </w:rPr>
      </w:pPr>
      <w:r w:rsidRPr="006656DD">
        <w:rPr>
          <w:rFonts w:ascii="Palatino Linotype" w:hAnsi="Palatino Linotype"/>
          <w:i/>
        </w:rPr>
        <w:t>Registro e identificación de los particulares autorizados para llevar a cabo la consulta directa, y</w:t>
      </w:r>
    </w:p>
    <w:p w:rsidR="005F473E" w:rsidRPr="006656DD" w:rsidRDefault="005F473E" w:rsidP="00B9272D">
      <w:pPr>
        <w:pStyle w:val="Prrafodelista"/>
        <w:widowControl w:val="0"/>
        <w:numPr>
          <w:ilvl w:val="0"/>
          <w:numId w:val="4"/>
        </w:numPr>
        <w:autoSpaceDE w:val="0"/>
        <w:autoSpaceDN w:val="0"/>
        <w:adjustRightInd w:val="0"/>
        <w:ind w:left="1843" w:right="902"/>
        <w:jc w:val="both"/>
        <w:rPr>
          <w:rFonts w:ascii="Palatino Linotype" w:hAnsi="Palatino Linotype"/>
          <w:i/>
        </w:rPr>
      </w:pPr>
      <w:r w:rsidRPr="006656DD">
        <w:rPr>
          <w:rFonts w:ascii="Palatino Linotype" w:hAnsi="Palatino Linotype"/>
          <w:i/>
        </w:rPr>
        <w:t>Las demás que, a criterio de los sujetos obligados, resulten necesarias.</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VII. Hacer del conocimiento del solicitante, previo al acceso a la información, las reglas a que se sujetará la consulta para garantizar la integridad de los documentos, y</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b/>
          <w:i/>
          <w:sz w:val="22"/>
        </w:rPr>
        <w:t>Septuagésimo primero</w:t>
      </w:r>
      <w:r w:rsidRPr="006656DD">
        <w:rPr>
          <w:rFonts w:ascii="Palatino Linotype" w:hAnsi="Palatino Linotype"/>
          <w:i/>
          <w:sz w:val="22"/>
        </w:rPr>
        <w:t xml:space="preserve">. </w:t>
      </w:r>
      <w:r w:rsidRPr="006656DD">
        <w:rPr>
          <w:rFonts w:ascii="Palatino Linotype" w:hAnsi="Palatino Linotype"/>
          <w:b/>
          <w:i/>
          <w:sz w:val="22"/>
        </w:rPr>
        <w:t>La consulta física de la información se realizará en presencia del personal que para tal efecto haya sido designado</w:t>
      </w:r>
      <w:r w:rsidRPr="006656DD">
        <w:rPr>
          <w:rFonts w:ascii="Palatino Linotype" w:hAnsi="Palatino Linotype"/>
          <w:i/>
          <w:sz w:val="22"/>
        </w:rPr>
        <w:t>, quien implementará las medidas para asegurar en todo momento la integridad de la documentación, conforme a la resolución que, al efecto, emita el Comité de Transparencia.</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El solicitante deberá observar en todo momento las reglas que el sujeto obligado haya hecho de su conocimiento para efectos de la conservación de los documentos.</w:t>
      </w:r>
    </w:p>
    <w:p w:rsidR="005F473E" w:rsidRPr="006656DD"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b/>
          <w:i/>
          <w:sz w:val="22"/>
        </w:rPr>
        <w:t>Septuagésimo segundo</w:t>
      </w:r>
      <w:r w:rsidRPr="006656DD">
        <w:rPr>
          <w:rFonts w:ascii="Palatino Linotype" w:hAnsi="Palatino Linotype"/>
          <w:i/>
          <w:sz w:val="22"/>
        </w:rPr>
        <w:t xml:space="preserve">. </w:t>
      </w:r>
      <w:r w:rsidRPr="006656DD">
        <w:rPr>
          <w:rFonts w:ascii="Palatino Linotype" w:hAnsi="Palatino Linotype"/>
          <w:b/>
          <w:i/>
          <w:sz w:val="22"/>
        </w:rPr>
        <w:t>El solicitante deberá realizar la consulta de los documentos requeridos en el lugar, horarios y con la persona destinada para tal efecto</w:t>
      </w:r>
      <w:r w:rsidRPr="006656DD">
        <w:rPr>
          <w:rFonts w:ascii="Palatino Linotype" w:hAnsi="Palatino Linotype"/>
          <w:i/>
          <w:sz w:val="22"/>
        </w:rPr>
        <w:t>.</w:t>
      </w:r>
    </w:p>
    <w:p w:rsidR="005F473E" w:rsidRDefault="005F473E" w:rsidP="00B9272D">
      <w:pPr>
        <w:widowControl w:val="0"/>
        <w:autoSpaceDE w:val="0"/>
        <w:autoSpaceDN w:val="0"/>
        <w:adjustRightInd w:val="0"/>
        <w:ind w:left="851" w:right="902"/>
        <w:jc w:val="both"/>
        <w:rPr>
          <w:rFonts w:ascii="Palatino Linotype" w:hAnsi="Palatino Linotype"/>
          <w:i/>
          <w:sz w:val="22"/>
        </w:rPr>
      </w:pPr>
      <w:r w:rsidRPr="006656DD">
        <w:rPr>
          <w:rFonts w:ascii="Palatino Linotype" w:hAnsi="Palatino Linotype"/>
          <w:i/>
          <w:sz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187516" w:rsidRDefault="00187516" w:rsidP="000F164B">
      <w:pPr>
        <w:widowControl w:val="0"/>
        <w:autoSpaceDE w:val="0"/>
        <w:autoSpaceDN w:val="0"/>
        <w:adjustRightInd w:val="0"/>
        <w:spacing w:before="100" w:beforeAutospacing="1" w:after="100" w:afterAutospacing="1" w:line="360" w:lineRule="auto"/>
        <w:ind w:right="49"/>
        <w:jc w:val="both"/>
        <w:rPr>
          <w:rFonts w:ascii="Palatino Linotype" w:hAnsi="Palatino Linotype"/>
        </w:rPr>
      </w:pPr>
      <w:r>
        <w:rPr>
          <w:rFonts w:ascii="Palatino Linotype" w:hAnsi="Palatino Linotype"/>
        </w:rPr>
        <w:t>D</w:t>
      </w:r>
      <w:r w:rsidR="00C2277B">
        <w:rPr>
          <w:rFonts w:ascii="Palatino Linotype" w:hAnsi="Palatino Linotype"/>
        </w:rPr>
        <w:t xml:space="preserve">icho esto, </w:t>
      </w:r>
      <w:r>
        <w:rPr>
          <w:rFonts w:ascii="Palatino Linotype" w:hAnsi="Palatino Linotype"/>
        </w:rPr>
        <w:t xml:space="preserve">es que </w:t>
      </w:r>
      <w:r w:rsidR="00BE06CE">
        <w:rPr>
          <w:rFonts w:ascii="Palatino Linotype" w:hAnsi="Palatino Linotype"/>
        </w:rPr>
        <w:t>la que suscribe considera pertinente en</w:t>
      </w:r>
      <w:r w:rsidR="00C2277B">
        <w:rPr>
          <w:rFonts w:ascii="Palatino Linotype" w:hAnsi="Palatino Linotype"/>
        </w:rPr>
        <w:t xml:space="preserve"> que se </w:t>
      </w:r>
      <w:r w:rsidR="00BE06CE">
        <w:rPr>
          <w:rFonts w:ascii="Palatino Linotype" w:hAnsi="Palatino Linotype"/>
        </w:rPr>
        <w:t>debió ordenar la entrega de la información</w:t>
      </w:r>
      <w:r w:rsidR="00FF7099">
        <w:rPr>
          <w:rFonts w:ascii="Palatino Linotype" w:hAnsi="Palatino Linotype"/>
        </w:rPr>
        <w:t xml:space="preserve"> vía Consulta Directa </w:t>
      </w:r>
      <w:r w:rsidR="00BE06CE">
        <w:rPr>
          <w:rFonts w:ascii="Palatino Linotype" w:hAnsi="Palatino Linotype"/>
        </w:rPr>
        <w:t>de fecha 11 de septiembre de 2006 a</w:t>
      </w:r>
      <w:r w:rsidR="00787116">
        <w:rPr>
          <w:rFonts w:ascii="Palatino Linotype" w:hAnsi="Palatino Linotype"/>
        </w:rPr>
        <w:t>l</w:t>
      </w:r>
      <w:r w:rsidR="00BE06CE">
        <w:rPr>
          <w:rFonts w:ascii="Palatino Linotype" w:hAnsi="Palatino Linotype"/>
        </w:rPr>
        <w:t xml:space="preserve"> 5 de jun</w:t>
      </w:r>
      <w:r w:rsidR="00FF7099">
        <w:rPr>
          <w:rFonts w:ascii="Palatino Linotype" w:hAnsi="Palatino Linotype"/>
        </w:rPr>
        <w:t>io de 2018 y en raz</w:t>
      </w:r>
      <w:r w:rsidR="00CB07E4">
        <w:rPr>
          <w:rFonts w:ascii="Palatino Linotype" w:hAnsi="Palatino Linotype"/>
        </w:rPr>
        <w:t xml:space="preserve">ón de ello es que el sentido de la resolución debió ser REVOCAR la respuesta del Sujeto Obligado; </w:t>
      </w:r>
      <w:r w:rsidR="00787116">
        <w:rPr>
          <w:rFonts w:ascii="Palatino Linotype" w:hAnsi="Palatino Linotype"/>
        </w:rPr>
        <w:t>de conformidad</w:t>
      </w:r>
      <w:r w:rsidR="00CB07E4">
        <w:rPr>
          <w:rFonts w:ascii="Palatino Linotype" w:hAnsi="Palatino Linotype"/>
        </w:rPr>
        <w:t xml:space="preserve"> con lo siguiente: </w:t>
      </w:r>
    </w:p>
    <w:p w:rsidR="00CB07E4" w:rsidRPr="009D3429" w:rsidRDefault="00CB07E4" w:rsidP="000F164B">
      <w:pPr>
        <w:spacing w:before="100" w:beforeAutospacing="1" w:after="100" w:afterAutospacing="1" w:line="360" w:lineRule="auto"/>
        <w:jc w:val="both"/>
        <w:rPr>
          <w:rFonts w:ascii="Palatino Linotype" w:hAnsi="Palatino Linotype"/>
        </w:rPr>
      </w:pPr>
      <w:r w:rsidRPr="009D3429">
        <w:rPr>
          <w:rFonts w:ascii="Palatino Linotype" w:hAnsi="Palatino Linotype"/>
        </w:rPr>
        <w:lastRenderedPageBreak/>
        <w:t xml:space="preserve">En primer término, es necesario precisar que de conformidad con el artículo 186 de la </w:t>
      </w:r>
      <w:r w:rsidRPr="009D3429">
        <w:rPr>
          <w:rFonts w:ascii="Palatino Linotype" w:hAnsi="Palatino Linotype" w:cs="Arial"/>
        </w:rPr>
        <w:t>Ley de Transparencia y Acceso a la Información Pública del Estado de México y Municipios,</w:t>
      </w:r>
      <w:r w:rsidRPr="009D3429">
        <w:rPr>
          <w:rFonts w:ascii="Palatino Linotype" w:hAnsi="Palatino Linotype"/>
        </w:rPr>
        <w:t xml:space="preserve"> las Resoluciones emitidas por este Órgano Garante podrán:</w:t>
      </w:r>
    </w:p>
    <w:p w:rsidR="00CB07E4" w:rsidRPr="00B9272D" w:rsidRDefault="00CB07E4" w:rsidP="000F164B">
      <w:pPr>
        <w:pStyle w:val="Prrafodelista"/>
        <w:numPr>
          <w:ilvl w:val="0"/>
          <w:numId w:val="5"/>
        </w:numPr>
        <w:spacing w:before="100" w:beforeAutospacing="1" w:after="100" w:afterAutospacing="1" w:line="360" w:lineRule="auto"/>
        <w:ind w:left="0" w:right="49" w:firstLine="0"/>
        <w:jc w:val="both"/>
        <w:rPr>
          <w:rFonts w:ascii="Palatino Linotype" w:hAnsi="Palatino Linotype"/>
          <w:sz w:val="24"/>
        </w:rPr>
      </w:pPr>
      <w:r w:rsidRPr="00B9272D">
        <w:rPr>
          <w:rFonts w:ascii="Palatino Linotype" w:hAnsi="Palatino Linotype"/>
          <w:sz w:val="24"/>
        </w:rPr>
        <w:t xml:space="preserve">Desechar o sobreseer el recurso; </w:t>
      </w:r>
    </w:p>
    <w:p w:rsidR="00CB07E4" w:rsidRPr="00B9272D" w:rsidRDefault="00CB07E4" w:rsidP="000F164B">
      <w:pPr>
        <w:pStyle w:val="Prrafodelista"/>
        <w:numPr>
          <w:ilvl w:val="0"/>
          <w:numId w:val="5"/>
        </w:numPr>
        <w:spacing w:before="100" w:beforeAutospacing="1" w:after="100" w:afterAutospacing="1" w:line="360" w:lineRule="auto"/>
        <w:ind w:left="0" w:right="49" w:firstLine="0"/>
        <w:jc w:val="both"/>
        <w:rPr>
          <w:rFonts w:ascii="Palatino Linotype" w:hAnsi="Palatino Linotype"/>
          <w:sz w:val="24"/>
        </w:rPr>
      </w:pPr>
      <w:r w:rsidRPr="00B9272D">
        <w:rPr>
          <w:rFonts w:ascii="Palatino Linotype" w:hAnsi="Palatino Linotype"/>
          <w:sz w:val="24"/>
        </w:rPr>
        <w:t xml:space="preserve">Confirmar la respuesta del sujeto obligado; </w:t>
      </w:r>
    </w:p>
    <w:p w:rsidR="00CB07E4" w:rsidRPr="00B9272D" w:rsidRDefault="00CB07E4" w:rsidP="000F164B">
      <w:pPr>
        <w:pStyle w:val="Prrafodelista"/>
        <w:numPr>
          <w:ilvl w:val="0"/>
          <w:numId w:val="5"/>
        </w:numPr>
        <w:spacing w:before="100" w:beforeAutospacing="1" w:after="100" w:afterAutospacing="1" w:line="360" w:lineRule="auto"/>
        <w:ind w:left="0" w:right="49" w:firstLine="0"/>
        <w:jc w:val="both"/>
        <w:rPr>
          <w:rFonts w:ascii="Palatino Linotype" w:hAnsi="Palatino Linotype"/>
          <w:sz w:val="24"/>
        </w:rPr>
      </w:pPr>
      <w:r w:rsidRPr="00B9272D">
        <w:rPr>
          <w:rFonts w:ascii="Palatino Linotype" w:hAnsi="Palatino Linotype"/>
          <w:b/>
          <w:sz w:val="24"/>
        </w:rPr>
        <w:t>Revocar o modificar la respuesta del sujeto obligado</w:t>
      </w:r>
      <w:r w:rsidRPr="00B9272D">
        <w:rPr>
          <w:rFonts w:ascii="Palatino Linotype" w:hAnsi="Palatino Linotype"/>
          <w:sz w:val="24"/>
        </w:rPr>
        <w:t xml:space="preserve">; y </w:t>
      </w:r>
    </w:p>
    <w:p w:rsidR="00CB07E4" w:rsidRPr="00B9272D" w:rsidRDefault="00CB07E4" w:rsidP="000F164B">
      <w:pPr>
        <w:pStyle w:val="Prrafodelista"/>
        <w:numPr>
          <w:ilvl w:val="0"/>
          <w:numId w:val="5"/>
        </w:numPr>
        <w:spacing w:before="100" w:beforeAutospacing="1" w:after="100" w:afterAutospacing="1" w:line="360" w:lineRule="auto"/>
        <w:ind w:left="0" w:right="49" w:firstLine="0"/>
        <w:jc w:val="both"/>
        <w:rPr>
          <w:rFonts w:ascii="Palatino Linotype" w:hAnsi="Palatino Linotype"/>
          <w:sz w:val="24"/>
        </w:rPr>
      </w:pPr>
      <w:r w:rsidRPr="00B9272D">
        <w:rPr>
          <w:rFonts w:ascii="Palatino Linotype" w:hAnsi="Palatino Linotype"/>
          <w:sz w:val="24"/>
        </w:rPr>
        <w:t>Ordenar la entrega de la información.</w:t>
      </w:r>
    </w:p>
    <w:p w:rsidR="00CB07E4" w:rsidRPr="009D3429" w:rsidRDefault="00CB07E4" w:rsidP="000F164B">
      <w:pPr>
        <w:spacing w:before="100" w:beforeAutospacing="1" w:after="100" w:afterAutospacing="1" w:line="360" w:lineRule="auto"/>
        <w:jc w:val="both"/>
        <w:rPr>
          <w:rFonts w:ascii="Palatino Linotype" w:hAnsi="Palatino Linotype"/>
        </w:rPr>
      </w:pPr>
      <w:r w:rsidRPr="009D3429">
        <w:rPr>
          <w:rFonts w:ascii="Palatino Linotype" w:hAnsi="Palatino Linotype"/>
        </w:rPr>
        <w:t xml:space="preserve">En el caso particular de la fracción III y en relación a dichos sentidos, se procede a </w:t>
      </w:r>
      <w:r w:rsidRPr="009D3429">
        <w:rPr>
          <w:rFonts w:ascii="Palatino Linotype" w:hAnsi="Palatino Linotype"/>
          <w:b/>
        </w:rPr>
        <w:t>REVOCAR</w:t>
      </w:r>
      <w:r w:rsidRPr="009D3429">
        <w:rPr>
          <w:rFonts w:ascii="Palatino Linotype" w:hAnsi="Palatino Linotype"/>
        </w:rPr>
        <w:t xml:space="preserve"> la respuesta de los Sujetos Obligados, cuando ésta no satisfaga en su </w:t>
      </w:r>
      <w:r w:rsidRPr="009D3429">
        <w:rPr>
          <w:rFonts w:ascii="Palatino Linotype" w:hAnsi="Palatino Linotype"/>
          <w:b/>
        </w:rPr>
        <w:t>totalidad</w:t>
      </w:r>
      <w:r w:rsidRPr="009D3429">
        <w:rPr>
          <w:rFonts w:ascii="Palatino Linotype" w:hAnsi="Palatino Linotype"/>
        </w:rPr>
        <w:t xml:space="preserve"> la información requerida por los particulares; mientras que se procede a </w:t>
      </w:r>
      <w:r w:rsidRPr="009D3429">
        <w:rPr>
          <w:rFonts w:ascii="Palatino Linotype" w:hAnsi="Palatino Linotype"/>
          <w:b/>
        </w:rPr>
        <w:t xml:space="preserve">MODIFICAR </w:t>
      </w:r>
      <w:r w:rsidRPr="009D3429">
        <w:rPr>
          <w:rFonts w:ascii="Palatino Linotype" w:hAnsi="Palatino Linotype"/>
        </w:rPr>
        <w:t xml:space="preserve">la misma, en aquellos casos en que se colme </w:t>
      </w:r>
      <w:r w:rsidRPr="009D3429">
        <w:rPr>
          <w:rFonts w:ascii="Palatino Linotype" w:hAnsi="Palatino Linotype"/>
          <w:b/>
        </w:rPr>
        <w:t>parcialmente</w:t>
      </w:r>
      <w:r w:rsidRPr="009D3429">
        <w:rPr>
          <w:rFonts w:ascii="Palatino Linotype" w:hAnsi="Palatino Linotype"/>
        </w:rPr>
        <w:t xml:space="preserve"> la solicitud de información, por mínima que pudiera resultar ésta.</w:t>
      </w:r>
    </w:p>
    <w:p w:rsidR="00CB07E4" w:rsidRDefault="00CB07E4" w:rsidP="000F164B">
      <w:pPr>
        <w:spacing w:before="100" w:beforeAutospacing="1" w:after="100" w:afterAutospacing="1" w:line="360" w:lineRule="auto"/>
        <w:jc w:val="both"/>
        <w:rPr>
          <w:rFonts w:ascii="Palatino Linotype" w:hAnsi="Palatino Linotype"/>
        </w:rPr>
      </w:pPr>
      <w:r>
        <w:rPr>
          <w:rFonts w:ascii="Palatino Linotype" w:hAnsi="Palatino Linotype"/>
        </w:rPr>
        <w:t xml:space="preserve">Así, del estudio realizado por la Ponencia </w:t>
      </w:r>
      <w:proofErr w:type="spellStart"/>
      <w:r>
        <w:rPr>
          <w:rFonts w:ascii="Palatino Linotype" w:hAnsi="Palatino Linotype"/>
        </w:rPr>
        <w:t>Resolutora</w:t>
      </w:r>
      <w:proofErr w:type="spellEnd"/>
      <w:r>
        <w:rPr>
          <w:rFonts w:ascii="Palatino Linotype" w:hAnsi="Palatino Linotype"/>
        </w:rPr>
        <w:t xml:space="preserve">, se precisa que </w:t>
      </w:r>
      <w:r w:rsidRPr="00630280">
        <w:rPr>
          <w:rFonts w:ascii="Palatino Linotype" w:hAnsi="Palatino Linotype"/>
          <w:b/>
        </w:rPr>
        <w:t>EL SUJETO OBLIGADO</w:t>
      </w:r>
      <w:r>
        <w:rPr>
          <w:rFonts w:ascii="Palatino Linotype" w:hAnsi="Palatino Linotype"/>
          <w:b/>
        </w:rPr>
        <w:t>,</w:t>
      </w:r>
      <w:r>
        <w:rPr>
          <w:rFonts w:ascii="Palatino Linotype" w:hAnsi="Palatino Linotype"/>
        </w:rPr>
        <w:t xml:space="preserve"> en respuesta a la solicitud de información pública, adjuntó</w:t>
      </w:r>
      <w:r w:rsidR="00AA7D0F">
        <w:rPr>
          <w:rFonts w:ascii="Palatino Linotype" w:hAnsi="Palatino Linotype"/>
        </w:rPr>
        <w:t xml:space="preserve"> diversos</w:t>
      </w:r>
      <w:r>
        <w:rPr>
          <w:rFonts w:ascii="Palatino Linotype" w:hAnsi="Palatino Linotype"/>
        </w:rPr>
        <w:t xml:space="preserve"> archivos electrónicos </w:t>
      </w:r>
      <w:r w:rsidR="00787116">
        <w:rPr>
          <w:rFonts w:ascii="Palatino Linotype" w:hAnsi="Palatino Linotype"/>
        </w:rPr>
        <w:t xml:space="preserve">con los que </w:t>
      </w:r>
      <w:r>
        <w:rPr>
          <w:rFonts w:ascii="Palatino Linotype" w:hAnsi="Palatino Linotype"/>
        </w:rPr>
        <w:t>colmó parte de la información</w:t>
      </w:r>
      <w:r w:rsidR="00AA7D0F">
        <w:rPr>
          <w:rFonts w:ascii="Palatino Linotype" w:hAnsi="Palatino Linotype"/>
        </w:rPr>
        <w:t xml:space="preserve">. </w:t>
      </w:r>
    </w:p>
    <w:p w:rsidR="003A447C" w:rsidRDefault="009E22D2" w:rsidP="000F164B">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se insiste en que lo procedente en relación con el Resolutivo SEGUNDO era que tanto en estudio como en resolutivos se precisara </w:t>
      </w:r>
      <w:r w:rsidR="00AF22AF">
        <w:rPr>
          <w:rFonts w:ascii="Palatino Linotype" w:hAnsi="Palatino Linotype" w:cs="Arial"/>
        </w:rPr>
        <w:t xml:space="preserve">que no solo procedía la entrega del </w:t>
      </w:r>
      <w:r w:rsidR="00B51A18">
        <w:rPr>
          <w:rFonts w:ascii="Palatino Linotype" w:hAnsi="Palatino Linotype" w:cs="Arial"/>
        </w:rPr>
        <w:t xml:space="preserve">registro histórico </w:t>
      </w:r>
      <w:r w:rsidR="00AA7D0F">
        <w:rPr>
          <w:rFonts w:ascii="Palatino Linotype" w:hAnsi="Palatino Linotype" w:cs="Arial"/>
        </w:rPr>
        <w:t>de los</w:t>
      </w:r>
      <w:r w:rsidR="00B51A18">
        <w:rPr>
          <w:rFonts w:ascii="Palatino Linotype" w:hAnsi="Palatino Linotype" w:cs="Arial"/>
        </w:rPr>
        <w:t xml:space="preserve"> equipos de cómputo </w:t>
      </w:r>
      <w:r w:rsidR="003A447C">
        <w:rPr>
          <w:rFonts w:ascii="Palatino Linotype" w:hAnsi="Palatino Linotype" w:cs="Arial"/>
        </w:rPr>
        <w:t>a partir de fecha catorce de noviembre de dos mil seis al cinco de junio de dos mil dieciocho debiendo</w:t>
      </w:r>
      <w:r w:rsidR="00AF22AF">
        <w:rPr>
          <w:rFonts w:ascii="Palatino Linotype" w:hAnsi="Palatino Linotype" w:cs="Arial"/>
        </w:rPr>
        <w:t xml:space="preserve"> ordenar</w:t>
      </w:r>
      <w:r w:rsidR="003A447C">
        <w:rPr>
          <w:rFonts w:ascii="Palatino Linotype" w:hAnsi="Palatino Linotype" w:cs="Arial"/>
        </w:rPr>
        <w:t>se</w:t>
      </w:r>
      <w:r w:rsidR="00AF22AF">
        <w:rPr>
          <w:rFonts w:ascii="Palatino Linotype" w:hAnsi="Palatino Linotype" w:cs="Arial"/>
        </w:rPr>
        <w:t xml:space="preserve"> </w:t>
      </w:r>
      <w:r>
        <w:rPr>
          <w:rFonts w:ascii="Palatino Linotype" w:hAnsi="Palatino Linotype" w:cs="Arial"/>
        </w:rPr>
        <w:t xml:space="preserve">del </w:t>
      </w:r>
      <w:r w:rsidR="00787116">
        <w:rPr>
          <w:rFonts w:ascii="Palatino Linotype" w:hAnsi="Palatino Linotype" w:cs="Arial"/>
        </w:rPr>
        <w:t>once</w:t>
      </w:r>
      <w:r>
        <w:rPr>
          <w:rFonts w:ascii="Palatino Linotype" w:hAnsi="Palatino Linotype" w:cs="Arial"/>
        </w:rPr>
        <w:t xml:space="preserve"> de </w:t>
      </w:r>
      <w:r w:rsidR="00BE207C">
        <w:rPr>
          <w:rFonts w:ascii="Palatino Linotype" w:hAnsi="Palatino Linotype" w:cs="Arial"/>
        </w:rPr>
        <w:t xml:space="preserve">septiembre </w:t>
      </w:r>
      <w:r w:rsidR="00AA7D0F">
        <w:rPr>
          <w:rFonts w:ascii="Palatino Linotype" w:hAnsi="Palatino Linotype" w:cs="Arial"/>
        </w:rPr>
        <w:t xml:space="preserve">de </w:t>
      </w:r>
      <w:r w:rsidR="00787116">
        <w:rPr>
          <w:rFonts w:ascii="Palatino Linotype" w:hAnsi="Palatino Linotype" w:cs="Arial"/>
        </w:rPr>
        <w:t xml:space="preserve">dos mil seis </w:t>
      </w:r>
      <w:r w:rsidR="00AA7D0F">
        <w:rPr>
          <w:rFonts w:ascii="Palatino Linotype" w:hAnsi="Palatino Linotype" w:cs="Arial"/>
        </w:rPr>
        <w:t xml:space="preserve">al </w:t>
      </w:r>
      <w:r w:rsidR="00787116">
        <w:rPr>
          <w:rFonts w:ascii="Palatino Linotype" w:hAnsi="Palatino Linotype" w:cs="Arial"/>
        </w:rPr>
        <w:t>cinco</w:t>
      </w:r>
      <w:r w:rsidR="00AA7D0F">
        <w:rPr>
          <w:rFonts w:ascii="Palatino Linotype" w:hAnsi="Palatino Linotype" w:cs="Arial"/>
        </w:rPr>
        <w:t xml:space="preserve"> de junio</w:t>
      </w:r>
      <w:r>
        <w:rPr>
          <w:rFonts w:ascii="Palatino Linotype" w:hAnsi="Palatino Linotype" w:cs="Arial"/>
        </w:rPr>
        <w:t xml:space="preserve"> de </w:t>
      </w:r>
      <w:r w:rsidR="00787116">
        <w:rPr>
          <w:rFonts w:ascii="Palatino Linotype" w:hAnsi="Palatino Linotype" w:cs="Arial"/>
        </w:rPr>
        <w:t>dos mil dieciocho,</w:t>
      </w:r>
      <w:r>
        <w:rPr>
          <w:rFonts w:ascii="Palatino Linotype" w:hAnsi="Palatino Linotype" w:cs="Arial"/>
        </w:rPr>
        <w:t xml:space="preserve"> </w:t>
      </w:r>
      <w:r w:rsidR="00BB0C92">
        <w:rPr>
          <w:rFonts w:ascii="Palatino Linotype" w:hAnsi="Palatino Linotype" w:cs="Arial"/>
        </w:rPr>
        <w:t xml:space="preserve">así como en su caso </w:t>
      </w:r>
      <w:r w:rsidR="00AD586B">
        <w:rPr>
          <w:rFonts w:ascii="Palatino Linotype" w:hAnsi="Palatino Linotype" w:cs="Arial"/>
        </w:rPr>
        <w:t xml:space="preserve">la entrega fuera </w:t>
      </w:r>
      <w:r w:rsidR="003A447C">
        <w:rPr>
          <w:rFonts w:ascii="Palatino Linotype" w:hAnsi="Palatino Linotype" w:cs="Arial"/>
        </w:rPr>
        <w:t xml:space="preserve">vía Consulta </w:t>
      </w:r>
      <w:r w:rsidR="003A447C">
        <w:rPr>
          <w:rFonts w:ascii="Palatino Linotype" w:hAnsi="Palatino Linotype" w:cs="Arial"/>
        </w:rPr>
        <w:lastRenderedPageBreak/>
        <w:t xml:space="preserve">Directa a fin de colmar el Derecho de Acceso a la Información pública de </w:t>
      </w:r>
      <w:r w:rsidR="003A447C">
        <w:rPr>
          <w:rFonts w:ascii="Palatino Linotype" w:hAnsi="Palatino Linotype" w:cs="Arial"/>
          <w:b/>
        </w:rPr>
        <w:t>LA RECURRENTE</w:t>
      </w:r>
      <w:r w:rsidR="00AF22AF">
        <w:rPr>
          <w:rFonts w:ascii="Palatino Linotype" w:hAnsi="Palatino Linotype" w:cs="Arial"/>
        </w:rPr>
        <w:t xml:space="preserve">, </w:t>
      </w:r>
      <w:r w:rsidR="00AA7D0F">
        <w:rPr>
          <w:rFonts w:ascii="Palatino Linotype" w:hAnsi="Palatino Linotype" w:cs="Arial"/>
        </w:rPr>
        <w:t>en atención</w:t>
      </w:r>
      <w:r w:rsidR="003A447C">
        <w:rPr>
          <w:rFonts w:ascii="Palatino Linotype" w:hAnsi="Palatino Linotype" w:cs="Arial"/>
        </w:rPr>
        <w:t xml:space="preserve"> </w:t>
      </w:r>
      <w:r w:rsidR="00BE207C">
        <w:rPr>
          <w:rFonts w:ascii="Palatino Linotype" w:hAnsi="Palatino Linotype" w:cs="Arial"/>
        </w:rPr>
        <w:t>al principio</w:t>
      </w:r>
      <w:r w:rsidR="00AF22AF">
        <w:rPr>
          <w:rFonts w:ascii="Palatino Linotype" w:hAnsi="Palatino Linotype" w:cs="Arial"/>
        </w:rPr>
        <w:t xml:space="preserve"> de exhaustividad y congruencia</w:t>
      </w:r>
      <w:r w:rsidR="003A447C">
        <w:rPr>
          <w:rFonts w:ascii="Palatino Linotype" w:hAnsi="Palatino Linotype" w:cs="Arial"/>
        </w:rPr>
        <w:t>,</w:t>
      </w:r>
      <w:r w:rsidR="00AD586B">
        <w:rPr>
          <w:rFonts w:ascii="Palatino Linotype" w:hAnsi="Palatino Linotype" w:cs="Arial"/>
        </w:rPr>
        <w:t xml:space="preserve"> y de lo </w:t>
      </w:r>
      <w:r w:rsidR="003A447C" w:rsidRPr="009D3429">
        <w:rPr>
          <w:rFonts w:ascii="Palatino Linotype" w:hAnsi="Palatino Linotype"/>
        </w:rPr>
        <w:t>anterior resulta aún más evidente que el proyecto sometido a votación del Pleno planteó establecer la entrega a</w:t>
      </w:r>
      <w:r w:rsidR="00AD586B">
        <w:rPr>
          <w:rFonts w:ascii="Palatino Linotype" w:hAnsi="Palatino Linotype"/>
        </w:rPr>
        <w:t xml:space="preserve"> </w:t>
      </w:r>
      <w:r w:rsidR="00AD586B" w:rsidRPr="00AD586B">
        <w:rPr>
          <w:rFonts w:ascii="Palatino Linotype" w:hAnsi="Palatino Linotype"/>
          <w:b/>
        </w:rPr>
        <w:t xml:space="preserve">LA </w:t>
      </w:r>
      <w:r w:rsidR="003A447C" w:rsidRPr="009D3429">
        <w:rPr>
          <w:rFonts w:ascii="Palatino Linotype" w:hAnsi="Palatino Linotype"/>
          <w:b/>
        </w:rPr>
        <w:t>RECURRENTE</w:t>
      </w:r>
      <w:r w:rsidR="00AD586B">
        <w:rPr>
          <w:rFonts w:ascii="Palatino Linotype" w:hAnsi="Palatino Linotype"/>
        </w:rPr>
        <w:t xml:space="preserve"> de </w:t>
      </w:r>
      <w:r w:rsidR="003A447C">
        <w:rPr>
          <w:rFonts w:ascii="Palatino Linotype" w:hAnsi="Palatino Linotype"/>
        </w:rPr>
        <w:t xml:space="preserve">la </w:t>
      </w:r>
      <w:r w:rsidR="00AD586B">
        <w:rPr>
          <w:rFonts w:ascii="Palatino Linotype" w:hAnsi="Palatino Linotype"/>
        </w:rPr>
        <w:t xml:space="preserve">totalidad de la </w:t>
      </w:r>
      <w:r w:rsidR="003A447C">
        <w:rPr>
          <w:rFonts w:ascii="Palatino Linotype" w:hAnsi="Palatino Linotype"/>
        </w:rPr>
        <w:t>información</w:t>
      </w:r>
      <w:r w:rsidR="00AD586B">
        <w:rPr>
          <w:rFonts w:ascii="Palatino Linotype" w:hAnsi="Palatino Linotype"/>
        </w:rPr>
        <w:t xml:space="preserve"> </w:t>
      </w:r>
      <w:r w:rsidR="003A447C">
        <w:rPr>
          <w:rFonts w:ascii="Palatino Linotype" w:hAnsi="Palatino Linotype"/>
        </w:rPr>
        <w:t>misma que no fue remitida dentro de</w:t>
      </w:r>
      <w:r w:rsidR="00AD586B">
        <w:rPr>
          <w:rFonts w:ascii="Palatino Linotype" w:hAnsi="Palatino Linotype"/>
        </w:rPr>
        <w:t xml:space="preserve"> </w:t>
      </w:r>
      <w:r w:rsidR="003A447C">
        <w:rPr>
          <w:rFonts w:ascii="Palatino Linotype" w:hAnsi="Palatino Linotype"/>
        </w:rPr>
        <w:t>l</w:t>
      </w:r>
      <w:r w:rsidR="00AD586B">
        <w:rPr>
          <w:rFonts w:ascii="Palatino Linotype" w:hAnsi="Palatino Linotype"/>
        </w:rPr>
        <w:t>a</w:t>
      </w:r>
      <w:r w:rsidR="003A447C">
        <w:rPr>
          <w:rFonts w:ascii="Palatino Linotype" w:hAnsi="Palatino Linotype"/>
        </w:rPr>
        <w:t xml:space="preserve"> </w:t>
      </w:r>
      <w:r w:rsidR="00AD586B">
        <w:rPr>
          <w:rFonts w:ascii="Palatino Linotype" w:hAnsi="Palatino Linotype"/>
        </w:rPr>
        <w:t>respuesta</w:t>
      </w:r>
      <w:r w:rsidR="003A447C" w:rsidRPr="009D3429">
        <w:rPr>
          <w:rFonts w:ascii="Palatino Linotype" w:hAnsi="Palatino Linotype"/>
        </w:rPr>
        <w:t xml:space="preserve">, </w:t>
      </w:r>
      <w:r w:rsidR="00BD49A8">
        <w:rPr>
          <w:rFonts w:ascii="Palatino Linotype" w:hAnsi="Palatino Linotype" w:cs="Arial"/>
        </w:rPr>
        <w:t xml:space="preserve">por lo que </w:t>
      </w:r>
      <w:r w:rsidR="00BD49A8" w:rsidRPr="00BD49A8">
        <w:rPr>
          <w:rFonts w:ascii="Palatino Linotype" w:hAnsi="Palatino Linotype" w:cs="Arial"/>
          <w:b/>
        </w:rPr>
        <w:t xml:space="preserve">EL </w:t>
      </w:r>
      <w:r w:rsidR="003A447C" w:rsidRPr="009D3429">
        <w:rPr>
          <w:rFonts w:ascii="Palatino Linotype" w:hAnsi="Palatino Linotype" w:cs="Arial"/>
          <w:b/>
        </w:rPr>
        <w:t>SUJETO OBLIGADO</w:t>
      </w:r>
      <w:r w:rsidR="003A447C" w:rsidRPr="009D3429">
        <w:rPr>
          <w:rFonts w:ascii="Palatino Linotype" w:hAnsi="Palatino Linotype" w:cs="Arial"/>
        </w:rPr>
        <w:t xml:space="preserve"> no </w:t>
      </w:r>
      <w:r w:rsidR="003A447C">
        <w:rPr>
          <w:rFonts w:ascii="Palatino Linotype" w:hAnsi="Palatino Linotype" w:cs="Arial"/>
        </w:rPr>
        <w:t>satisfizo</w:t>
      </w:r>
      <w:r w:rsidR="003A447C" w:rsidRPr="009D3429">
        <w:rPr>
          <w:rFonts w:ascii="Palatino Linotype" w:hAnsi="Palatino Linotype" w:cs="Arial"/>
        </w:rPr>
        <w:t xml:space="preserve"> ni tot</w:t>
      </w:r>
      <w:r w:rsidR="00BD49A8">
        <w:rPr>
          <w:rFonts w:ascii="Palatino Linotype" w:hAnsi="Palatino Linotype" w:cs="Arial"/>
        </w:rPr>
        <w:t xml:space="preserve">al ni parcialmente lo requerido, por lo tanto </w:t>
      </w:r>
      <w:r w:rsidR="003A447C" w:rsidRPr="009D3429">
        <w:rPr>
          <w:rFonts w:ascii="Palatino Linotype" w:hAnsi="Palatino Linotype" w:cs="Arial"/>
        </w:rPr>
        <w:t xml:space="preserve">lo conducente era </w:t>
      </w:r>
      <w:r w:rsidR="003A447C" w:rsidRPr="009D3429">
        <w:rPr>
          <w:rFonts w:ascii="Palatino Linotype" w:hAnsi="Palatino Linotype" w:cs="Arial"/>
          <w:b/>
        </w:rPr>
        <w:t>REVOCAR</w:t>
      </w:r>
      <w:r w:rsidR="003A447C" w:rsidRPr="009D3429">
        <w:rPr>
          <w:rFonts w:ascii="Palatino Linotype" w:hAnsi="Palatino Linotype" w:cs="Arial"/>
        </w:rPr>
        <w:t xml:space="preserve"> la respuesta del </w:t>
      </w:r>
      <w:r w:rsidR="003A447C" w:rsidRPr="009D3429">
        <w:rPr>
          <w:rFonts w:ascii="Palatino Linotype" w:hAnsi="Palatino Linotype" w:cs="Arial"/>
          <w:b/>
        </w:rPr>
        <w:t>SUJETO OBLIGADO</w:t>
      </w:r>
      <w:r w:rsidR="003A447C" w:rsidRPr="009D3429">
        <w:rPr>
          <w:rFonts w:ascii="Palatino Linotype" w:hAnsi="Palatino Linotype" w:cs="Arial"/>
        </w:rPr>
        <w:t>.</w:t>
      </w:r>
    </w:p>
    <w:p w:rsidR="009E22D2" w:rsidRDefault="009E22D2" w:rsidP="000F164B">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9E22D2" w:rsidRPr="001950C9" w:rsidTr="00555281">
        <w:trPr>
          <w:jc w:val="center"/>
        </w:trPr>
        <w:tc>
          <w:tcPr>
            <w:tcW w:w="4393" w:type="dxa"/>
          </w:tcPr>
          <w:p w:rsidR="00AD586B" w:rsidRDefault="00AD586B" w:rsidP="000F164B">
            <w:pPr>
              <w:spacing w:before="100" w:beforeAutospacing="1" w:after="100" w:afterAutospacing="1" w:line="360" w:lineRule="auto"/>
              <w:jc w:val="center"/>
              <w:rPr>
                <w:rFonts w:ascii="Palatino Linotype" w:hAnsi="Palatino Linotype"/>
                <w:b/>
              </w:rPr>
            </w:pPr>
          </w:p>
          <w:p w:rsidR="00B9272D" w:rsidRDefault="00B9272D" w:rsidP="000F164B">
            <w:pPr>
              <w:spacing w:before="100" w:beforeAutospacing="1" w:after="100" w:afterAutospacing="1" w:line="360" w:lineRule="auto"/>
              <w:jc w:val="center"/>
              <w:rPr>
                <w:rFonts w:ascii="Palatino Linotype" w:hAnsi="Palatino Linotype"/>
                <w:b/>
              </w:rPr>
            </w:pPr>
          </w:p>
          <w:p w:rsidR="00B9272D" w:rsidRDefault="00B9272D" w:rsidP="000F164B">
            <w:pPr>
              <w:spacing w:before="100" w:beforeAutospacing="1" w:after="100" w:afterAutospacing="1" w:line="360" w:lineRule="auto"/>
              <w:jc w:val="center"/>
              <w:rPr>
                <w:rFonts w:ascii="Palatino Linotype" w:hAnsi="Palatino Linotype"/>
                <w:b/>
              </w:rPr>
            </w:pPr>
          </w:p>
          <w:p w:rsidR="009E22D2" w:rsidRPr="001950C9" w:rsidRDefault="009E22D2" w:rsidP="00B9272D">
            <w:pPr>
              <w:jc w:val="center"/>
              <w:rPr>
                <w:rFonts w:ascii="Palatino Linotype" w:hAnsi="Palatino Linotype"/>
                <w:b/>
              </w:rPr>
            </w:pPr>
            <w:bookmarkStart w:id="0" w:name="_GoBack"/>
            <w:bookmarkEnd w:id="0"/>
            <w:r w:rsidRPr="001950C9">
              <w:rPr>
                <w:rFonts w:ascii="Palatino Linotype" w:hAnsi="Palatino Linotype"/>
                <w:b/>
              </w:rPr>
              <w:t>EVA ABAID YAPUR</w:t>
            </w:r>
          </w:p>
          <w:p w:rsidR="009E22D2" w:rsidRDefault="009E22D2" w:rsidP="00D22B2F">
            <w:pPr>
              <w:jc w:val="center"/>
              <w:rPr>
                <w:rFonts w:ascii="Palatino Linotype" w:hAnsi="Palatino Linotype"/>
                <w:b/>
              </w:rPr>
            </w:pPr>
            <w:r w:rsidRPr="001950C9">
              <w:rPr>
                <w:rFonts w:ascii="Palatino Linotype" w:hAnsi="Palatino Linotype"/>
                <w:b/>
              </w:rPr>
              <w:t>COMISIONADA</w:t>
            </w:r>
          </w:p>
          <w:p w:rsidR="001C7220" w:rsidRPr="001950C9" w:rsidRDefault="001C7220" w:rsidP="00D22B2F">
            <w:pPr>
              <w:jc w:val="center"/>
              <w:rPr>
                <w:rFonts w:ascii="Palatino Linotype" w:hAnsi="Palatino Linotype"/>
                <w:b/>
              </w:rPr>
            </w:pPr>
            <w:r>
              <w:rPr>
                <w:rFonts w:ascii="Palatino Linotype" w:hAnsi="Palatino Linotype" w:cs="Arial"/>
                <w:b/>
              </w:rPr>
              <w:t>(RÚBRICA)</w:t>
            </w:r>
          </w:p>
        </w:tc>
      </w:tr>
    </w:tbl>
    <w:p w:rsidR="009E22D2" w:rsidRDefault="009E22D2" w:rsidP="000F164B">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B9272D" w:rsidRDefault="00B9272D" w:rsidP="000F164B">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B9272D" w:rsidRDefault="00B9272D" w:rsidP="00B9272D">
      <w:pPr>
        <w:jc w:val="both"/>
        <w:rPr>
          <w:rFonts w:ascii="Palatino Linotype" w:eastAsia="Calibri" w:hAnsi="Palatino Linotype" w:cs="Arial"/>
          <w:color w:val="000000" w:themeColor="text1"/>
          <w:sz w:val="20"/>
          <w:szCs w:val="20"/>
        </w:rPr>
      </w:pPr>
    </w:p>
    <w:p w:rsidR="00BD49A8" w:rsidRDefault="00BD49A8" w:rsidP="00B9272D">
      <w:pPr>
        <w:jc w:val="both"/>
        <w:rPr>
          <w:rFonts w:ascii="Palatino Linotype" w:eastAsia="Calibri" w:hAnsi="Palatino Linotype" w:cs="Arial"/>
          <w:color w:val="000000" w:themeColor="text1"/>
          <w:sz w:val="20"/>
          <w:szCs w:val="20"/>
        </w:rPr>
      </w:pPr>
    </w:p>
    <w:p w:rsidR="009E22D2" w:rsidRDefault="009E22D2" w:rsidP="00B9272D">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00B9272D">
        <w:rPr>
          <w:rFonts w:ascii="Palatino Linotype" w:eastAsia="Calibri" w:hAnsi="Palatino Linotype" w:cs="Arial"/>
          <w:color w:val="000000" w:themeColor="text1"/>
          <w:sz w:val="20"/>
          <w:szCs w:val="20"/>
        </w:rPr>
        <w:t>el</w:t>
      </w:r>
      <w:r w:rsidRPr="001950C9">
        <w:rPr>
          <w:rFonts w:ascii="Palatino Linotype" w:eastAsia="Calibri" w:hAnsi="Palatino Linotype" w:cs="Arial"/>
          <w:color w:val="000000" w:themeColor="text1"/>
          <w:sz w:val="20"/>
          <w:szCs w:val="20"/>
        </w:rPr>
        <w:t xml:space="preserve"> recurso de revisión 0</w:t>
      </w:r>
      <w:r w:rsidR="000E2767">
        <w:rPr>
          <w:rFonts w:ascii="Palatino Linotype" w:eastAsia="Calibri" w:hAnsi="Palatino Linotype" w:cs="Arial"/>
          <w:color w:val="000000" w:themeColor="text1"/>
          <w:sz w:val="20"/>
          <w:szCs w:val="20"/>
        </w:rPr>
        <w:t>2409</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w:t>
      </w:r>
      <w:r w:rsidR="00BE207C">
        <w:rPr>
          <w:rFonts w:ascii="Palatino Linotype" w:eastAsia="Calibri" w:hAnsi="Palatino Linotype" w:cs="Arial"/>
          <w:color w:val="000000" w:themeColor="text1"/>
          <w:sz w:val="20"/>
          <w:szCs w:val="20"/>
        </w:rPr>
        <w:t xml:space="preserve"> </w:t>
      </w:r>
      <w:r>
        <w:rPr>
          <w:rFonts w:ascii="Palatino Linotype" w:eastAsia="Calibri" w:hAnsi="Palatino Linotype" w:cs="Arial"/>
          <w:color w:val="000000" w:themeColor="text1"/>
          <w:sz w:val="20"/>
          <w:szCs w:val="20"/>
        </w:rPr>
        <w:t>aprobada</w:t>
      </w:r>
      <w:r w:rsidRPr="001950C9">
        <w:rPr>
          <w:rFonts w:ascii="Palatino Linotype" w:eastAsia="Calibri" w:hAnsi="Palatino Linotype" w:cs="Arial"/>
          <w:color w:val="000000" w:themeColor="text1"/>
          <w:sz w:val="20"/>
          <w:szCs w:val="20"/>
        </w:rPr>
        <w:t xml:space="preserve"> el</w:t>
      </w:r>
      <w:r w:rsidR="000E2767">
        <w:rPr>
          <w:rFonts w:ascii="Palatino Linotype" w:eastAsia="Calibri" w:hAnsi="Palatino Linotype" w:cs="Arial"/>
          <w:color w:val="000000" w:themeColor="text1"/>
          <w:sz w:val="20"/>
          <w:szCs w:val="20"/>
        </w:rPr>
        <w:t xml:space="preserve"> veintinueve </w:t>
      </w:r>
      <w:r>
        <w:rPr>
          <w:rFonts w:ascii="Palatino Linotype" w:eastAsia="Calibri" w:hAnsi="Palatino Linotype" w:cs="Arial"/>
          <w:color w:val="000000" w:themeColor="text1"/>
          <w:sz w:val="20"/>
          <w:szCs w:val="20"/>
        </w:rPr>
        <w:t>de agosto de dos mil dieciocho</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0E2767" w:rsidRPr="000E2767" w:rsidRDefault="000E2767" w:rsidP="00B9272D">
      <w:pPr>
        <w:jc w:val="both"/>
        <w:rPr>
          <w:rFonts w:ascii="Palatino Linotype" w:eastAsia="Calibri" w:hAnsi="Palatino Linotype" w:cs="Arial"/>
          <w:color w:val="000000" w:themeColor="text1"/>
          <w:sz w:val="4"/>
          <w:szCs w:val="20"/>
        </w:rPr>
      </w:pPr>
    </w:p>
    <w:p w:rsidR="009E22D2" w:rsidRDefault="000E2767" w:rsidP="00B9272D">
      <w:pPr>
        <w:jc w:val="both"/>
      </w:pPr>
      <w:r>
        <w:rPr>
          <w:rFonts w:ascii="Palatino Linotype" w:eastAsia="Calibri" w:hAnsi="Palatino Linotype" w:cs="Arial"/>
          <w:color w:val="000000" w:themeColor="text1"/>
          <w:sz w:val="18"/>
          <w:szCs w:val="18"/>
        </w:rPr>
        <w:t>YSM/IAHA</w:t>
      </w:r>
    </w:p>
    <w:sectPr w:rsidR="009E22D2"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352" w:rsidRDefault="003C4352" w:rsidP="00B3668D">
      <w:r>
        <w:separator/>
      </w:r>
    </w:p>
  </w:endnote>
  <w:endnote w:type="continuationSeparator" w:id="0">
    <w:p w:rsidR="003C4352" w:rsidRDefault="003C4352" w:rsidP="00B3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3C4352" w:rsidP="00DC5C4E">
    <w:pPr>
      <w:pStyle w:val="Piedepgina"/>
      <w:tabs>
        <w:tab w:val="clear" w:pos="4252"/>
        <w:tab w:val="left" w:pos="4228"/>
      </w:tabs>
      <w:rPr>
        <w:rFonts w:ascii="Palatino Linotype" w:hAnsi="Palatino Linotype" w:cs="Arial"/>
        <w:b/>
        <w:bCs/>
        <w:sz w:val="20"/>
        <w:szCs w:val="20"/>
      </w:rPr>
    </w:pPr>
  </w:p>
  <w:p w:rsidR="005C7C8F" w:rsidRDefault="003C4352" w:rsidP="00DC5C4E">
    <w:pPr>
      <w:pStyle w:val="Piedepgina"/>
      <w:tabs>
        <w:tab w:val="clear" w:pos="4252"/>
        <w:tab w:val="left" w:pos="4228"/>
      </w:tabs>
      <w:rPr>
        <w:rFonts w:ascii="Palatino Linotype" w:hAnsi="Palatino Linotype" w:cs="Arial"/>
        <w:b/>
        <w:bCs/>
        <w:sz w:val="20"/>
        <w:szCs w:val="20"/>
      </w:rPr>
    </w:pPr>
  </w:p>
  <w:p w:rsidR="005C7C8F" w:rsidRDefault="003C4352" w:rsidP="00DC5C4E">
    <w:pPr>
      <w:pStyle w:val="Piedepgina"/>
      <w:tabs>
        <w:tab w:val="clear" w:pos="4252"/>
        <w:tab w:val="left" w:pos="4228"/>
      </w:tabs>
      <w:rPr>
        <w:rFonts w:ascii="Palatino Linotype" w:hAnsi="Palatino Linotype" w:cs="Arial"/>
        <w:b/>
        <w:bCs/>
        <w:sz w:val="20"/>
        <w:szCs w:val="20"/>
      </w:rPr>
    </w:pPr>
  </w:p>
  <w:p w:rsidR="005C7C8F" w:rsidRDefault="003C4352" w:rsidP="00D22B2F">
    <w:pPr>
      <w:pStyle w:val="Piedepgina"/>
      <w:jc w:val="center"/>
      <w:rPr>
        <w:rFonts w:ascii="Palatino Linotype" w:hAnsi="Palatino Linotype" w:cs="Arial"/>
        <w:b/>
        <w:bCs/>
        <w:sz w:val="20"/>
        <w:szCs w:val="20"/>
      </w:rPr>
    </w:pPr>
  </w:p>
  <w:p w:rsidR="005C7C8F" w:rsidRPr="00F12350" w:rsidRDefault="009D62BC"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C7220">
      <w:rPr>
        <w:rFonts w:ascii="Palatino Linotype" w:hAnsi="Palatino Linotype" w:cs="Arial"/>
        <w:b/>
        <w:bCs/>
        <w:noProof/>
        <w:sz w:val="20"/>
        <w:szCs w:val="20"/>
      </w:rPr>
      <w:t>13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C7220">
      <w:rPr>
        <w:rFonts w:ascii="Palatino Linotype" w:hAnsi="Palatino Linotype" w:cs="Arial"/>
        <w:b/>
        <w:bCs/>
        <w:noProof/>
        <w:sz w:val="20"/>
        <w:szCs w:val="20"/>
      </w:rPr>
      <w:t>13</w:t>
    </w:r>
    <w:r w:rsidRPr="00F12350">
      <w:rPr>
        <w:rFonts w:ascii="Palatino Linotype" w:hAnsi="Palatino Linotype" w:cs="Arial"/>
        <w:b/>
        <w:bCs/>
        <w:sz w:val="20"/>
        <w:szCs w:val="20"/>
      </w:rPr>
      <w:fldChar w:fldCharType="end"/>
    </w:r>
  </w:p>
  <w:p w:rsidR="005C7C8F" w:rsidRDefault="003C4352"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352" w:rsidRDefault="003C4352" w:rsidP="00B3668D">
      <w:r>
        <w:separator/>
      </w:r>
    </w:p>
  </w:footnote>
  <w:footnote w:type="continuationSeparator" w:id="0">
    <w:p w:rsidR="003C4352" w:rsidRDefault="003C4352" w:rsidP="00B3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3C435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D62BC"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12FEEE7A" wp14:editId="590F723F">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p w:rsidR="005C7C8F" w:rsidRDefault="003C4352" w:rsidP="00DC5C4E">
    <w:pPr>
      <w:pStyle w:val="Encabezado"/>
      <w:tabs>
        <w:tab w:val="clear" w:pos="4252"/>
        <w:tab w:val="clear" w:pos="8504"/>
        <w:tab w:val="left" w:pos="2326"/>
      </w:tabs>
      <w:jc w:val="right"/>
      <w:rPr>
        <w:rFonts w:ascii="Palatino Linotype" w:hAnsi="Palatino Linotype"/>
      </w:rPr>
    </w:pPr>
  </w:p>
  <w:p w:rsidR="005C7C8F" w:rsidRDefault="00CC2D18" w:rsidP="00DC5C4E">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CC2D18" w:rsidRDefault="00CC2D18"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 DE REVISIÓN</w:t>
    </w:r>
    <w:r>
      <w:rPr>
        <w:rFonts w:ascii="Palatino Linotype" w:hAnsi="Palatino Linotype" w:cs="Arial"/>
        <w:sz w:val="20"/>
        <w:szCs w:val="20"/>
      </w:rPr>
      <w:t xml:space="preserve"> 02409/INFOEM/IP</w:t>
    </w:r>
    <w:r w:rsidRPr="00706042">
      <w:rPr>
        <w:rFonts w:ascii="Palatino Linotype" w:hAnsi="Palatino Linotype" w:cs="Arial"/>
        <w:sz w:val="20"/>
        <w:szCs w:val="20"/>
      </w:rPr>
      <w:t>/RR/201</w:t>
    </w:r>
    <w:r>
      <w:rPr>
        <w:rFonts w:ascii="Palatino Linotype" w:hAnsi="Palatino Linotype" w:cs="Arial"/>
        <w:sz w:val="20"/>
        <w:szCs w:val="20"/>
      </w:rPr>
      <w:t>8</w:t>
    </w:r>
  </w:p>
  <w:p w:rsidR="002E3829" w:rsidRDefault="003C4352"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65.05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3C435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0F6F22"/>
    <w:multiLevelType w:val="hybridMultilevel"/>
    <w:tmpl w:val="028ACDFA"/>
    <w:lvl w:ilvl="0" w:tplc="6A4C4C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DF50F0"/>
    <w:multiLevelType w:val="hybridMultilevel"/>
    <w:tmpl w:val="A1F85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876D66"/>
    <w:multiLevelType w:val="hybridMultilevel"/>
    <w:tmpl w:val="27CADC44"/>
    <w:lvl w:ilvl="0" w:tplc="2410F8C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D2"/>
    <w:rsid w:val="000E2767"/>
    <w:rsid w:val="000F164B"/>
    <w:rsid w:val="00115871"/>
    <w:rsid w:val="00187516"/>
    <w:rsid w:val="001C7220"/>
    <w:rsid w:val="003506DF"/>
    <w:rsid w:val="003A447C"/>
    <w:rsid w:val="003C26D3"/>
    <w:rsid w:val="003C4352"/>
    <w:rsid w:val="004323CD"/>
    <w:rsid w:val="00452FDD"/>
    <w:rsid w:val="004A2FD9"/>
    <w:rsid w:val="00503FD6"/>
    <w:rsid w:val="00583EAA"/>
    <w:rsid w:val="005F473E"/>
    <w:rsid w:val="00607218"/>
    <w:rsid w:val="006101D0"/>
    <w:rsid w:val="00640D62"/>
    <w:rsid w:val="00716165"/>
    <w:rsid w:val="00787116"/>
    <w:rsid w:val="009169AB"/>
    <w:rsid w:val="009B3F10"/>
    <w:rsid w:val="009D62BC"/>
    <w:rsid w:val="009E22D2"/>
    <w:rsid w:val="00AA7D0F"/>
    <w:rsid w:val="00AD586B"/>
    <w:rsid w:val="00AF22AF"/>
    <w:rsid w:val="00B3668D"/>
    <w:rsid w:val="00B51A18"/>
    <w:rsid w:val="00B9272D"/>
    <w:rsid w:val="00BB0C92"/>
    <w:rsid w:val="00BD49A8"/>
    <w:rsid w:val="00BE06CE"/>
    <w:rsid w:val="00BE207C"/>
    <w:rsid w:val="00C2277B"/>
    <w:rsid w:val="00C23B43"/>
    <w:rsid w:val="00C26C00"/>
    <w:rsid w:val="00C45E7B"/>
    <w:rsid w:val="00C9714C"/>
    <w:rsid w:val="00C97C9F"/>
    <w:rsid w:val="00CB07E4"/>
    <w:rsid w:val="00CC2D18"/>
    <w:rsid w:val="00D22B2F"/>
    <w:rsid w:val="00D30CA6"/>
    <w:rsid w:val="00D3644C"/>
    <w:rsid w:val="00E205B6"/>
    <w:rsid w:val="00EB026E"/>
    <w:rsid w:val="00EB69E2"/>
    <w:rsid w:val="00F60466"/>
    <w:rsid w:val="00FC1218"/>
    <w:rsid w:val="00FF7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C8CF6E5-022E-4378-BA14-B09281C4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2D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22D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E22D2"/>
    <w:rPr>
      <w:rFonts w:eastAsiaTheme="minorEastAsia"/>
      <w:sz w:val="24"/>
      <w:szCs w:val="24"/>
      <w:lang w:val="es-ES_tradnl" w:eastAsia="es-ES"/>
    </w:rPr>
  </w:style>
  <w:style w:type="paragraph" w:styleId="Piedepgina">
    <w:name w:val="footer"/>
    <w:basedOn w:val="Normal"/>
    <w:link w:val="PiedepginaCar"/>
    <w:uiPriority w:val="99"/>
    <w:unhideWhenUsed/>
    <w:rsid w:val="009E22D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E22D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E22D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E22D2"/>
    <w:pPr>
      <w:ind w:left="708"/>
    </w:pPr>
    <w:rPr>
      <w:sz w:val="22"/>
      <w:szCs w:val="22"/>
      <w:lang w:eastAsia="en-US"/>
    </w:rPr>
  </w:style>
  <w:style w:type="paragraph" w:customStyle="1" w:styleId="j">
    <w:name w:val="j"/>
    <w:basedOn w:val="Normal"/>
    <w:rsid w:val="009E22D2"/>
    <w:pPr>
      <w:spacing w:before="100" w:beforeAutospacing="1" w:after="100" w:afterAutospacing="1"/>
    </w:pPr>
    <w:rPr>
      <w:lang w:val="es-MX" w:eastAsia="es-MX"/>
    </w:rPr>
  </w:style>
  <w:style w:type="character" w:customStyle="1" w:styleId="nacep">
    <w:name w:val="n_acep"/>
    <w:basedOn w:val="Fuentedeprrafopredeter"/>
    <w:rsid w:val="009E22D2"/>
  </w:style>
  <w:style w:type="character" w:customStyle="1" w:styleId="u">
    <w:name w:val="u"/>
    <w:basedOn w:val="Fuentedeprrafopredeter"/>
    <w:rsid w:val="009E22D2"/>
  </w:style>
  <w:style w:type="paragraph" w:styleId="Textodeglobo">
    <w:name w:val="Balloon Text"/>
    <w:basedOn w:val="Normal"/>
    <w:link w:val="TextodegloboCar"/>
    <w:uiPriority w:val="99"/>
    <w:semiHidden/>
    <w:unhideWhenUsed/>
    <w:rsid w:val="00BE207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207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13</Pages>
  <Words>3129</Words>
  <Characters>17214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7</cp:revision>
  <cp:lastPrinted>2018-08-31T17:14:00Z</cp:lastPrinted>
  <dcterms:created xsi:type="dcterms:W3CDTF">2018-08-30T21:22:00Z</dcterms:created>
  <dcterms:modified xsi:type="dcterms:W3CDTF">2018-10-11T01:46:00Z</dcterms:modified>
</cp:coreProperties>
</file>